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jc w:val="both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修正「毒品之分級及品項」部分分級及品項</w:t>
      </w:r>
    </w:p>
    <w:p>
      <w:pPr>
        <w:pStyle w:val="Style17"/>
        <w:jc w:val="both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附表二</w:t>
      </w:r>
    </w:p>
    <w:p>
      <w:pPr>
        <w:pStyle w:val="Style17"/>
        <w:widowControl/>
        <w:tabs>
          <w:tab w:val="clear" w:pos="4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jc w:val="both"/>
        <w:rPr>
          <w:rFonts w:ascii="標楷體" w:hAnsi="標楷體" w:eastAsia="標楷體" w:cs="細明體"/>
          <w:spacing w:val="-20"/>
          <w:sz w:val="32"/>
          <w:szCs w:val="32"/>
        </w:rPr>
      </w:pPr>
      <w:r>
        <w:rPr>
          <w:rFonts w:ascii="標楷體" w:hAnsi="標楷體" w:cs="細明體" w:eastAsia="標楷體"/>
          <w:spacing w:val="-20"/>
          <w:sz w:val="32"/>
          <w:szCs w:val="32"/>
        </w:rPr>
        <w:t>第二級毒品（除特別規定外，皆包括其異構物</w:t>
      </w:r>
      <w:r>
        <w:rPr>
          <w:rFonts w:eastAsia="標楷體" w:cs="細明體" w:ascii="標楷體" w:hAnsi="標楷體"/>
          <w:spacing w:val="-20"/>
          <w:sz w:val="32"/>
          <w:szCs w:val="32"/>
        </w:rPr>
        <w:t>Isomers</w:t>
      </w:r>
      <w:r>
        <w:rPr>
          <w:rFonts w:ascii="標楷體" w:hAnsi="標楷體" w:cs="細明體" w:eastAsia="標楷體"/>
          <w:spacing w:val="-20"/>
          <w:sz w:val="32"/>
          <w:szCs w:val="32"/>
        </w:rPr>
        <w:t>、酯類</w:t>
      </w:r>
      <w:r>
        <w:rPr>
          <w:rFonts w:eastAsia="標楷體" w:cs="細明體" w:ascii="標楷體" w:hAnsi="標楷體"/>
          <w:spacing w:val="-20"/>
          <w:sz w:val="32"/>
          <w:szCs w:val="32"/>
        </w:rPr>
        <w:t>Esters</w:t>
      </w:r>
      <w:r>
        <w:rPr>
          <w:rFonts w:ascii="標楷體" w:hAnsi="標楷體" w:cs="細明體" w:eastAsia="標楷體"/>
          <w:spacing w:val="-20"/>
          <w:sz w:val="32"/>
          <w:szCs w:val="32"/>
        </w:rPr>
        <w:t>、醚類</w:t>
      </w:r>
      <w:r>
        <w:rPr>
          <w:rFonts w:eastAsia="標楷體" w:cs="細明體" w:ascii="標楷體" w:hAnsi="標楷體"/>
          <w:spacing w:val="-20"/>
          <w:sz w:val="32"/>
          <w:szCs w:val="32"/>
        </w:rPr>
        <w:t>Ethers</w:t>
      </w:r>
      <w:r>
        <w:rPr>
          <w:rFonts w:ascii="標楷體" w:hAnsi="標楷體" w:cs="細明體" w:eastAsia="標楷體"/>
          <w:spacing w:val="-20"/>
          <w:sz w:val="32"/>
          <w:szCs w:val="32"/>
        </w:rPr>
        <w:t>及鹽類</w:t>
      </w:r>
      <w:r>
        <w:rPr>
          <w:rFonts w:eastAsia="標楷體" w:cs="細明體" w:ascii="標楷體" w:hAnsi="標楷體"/>
          <w:spacing w:val="-20"/>
          <w:sz w:val="32"/>
          <w:szCs w:val="32"/>
        </w:rPr>
        <w:t>Salts</w:t>
      </w:r>
      <w:r>
        <w:rPr>
          <w:rFonts w:ascii="標楷體" w:hAnsi="標楷體" w:cs="細明體" w:eastAsia="標楷體"/>
          <w:spacing w:val="-20"/>
          <w:sz w:val="32"/>
          <w:szCs w:val="32"/>
        </w:rPr>
        <w:t>）</w:t>
      </w:r>
    </w:p>
    <w:tbl>
      <w:tblPr>
        <w:tblW w:w="9039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2991"/>
      </w:tblGrid>
      <w:tr>
        <w:trPr/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品          項</w:t>
            </w:r>
          </w:p>
        </w:tc>
        <w:tc>
          <w:tcPr>
            <w:tcW w:w="2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備          註</w:t>
            </w:r>
          </w:p>
        </w:tc>
      </w:tr>
      <w:tr>
        <w:trPr/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autoSpaceDE w:val="false"/>
              <w:snapToGrid w:val="false"/>
              <w:ind w:start="700" w:hanging="70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  <w:u w:val="single"/>
              </w:rPr>
            </w:pPr>
            <w:r>
              <w:rPr>
                <w:rFonts w:eastAsia="標楷體" w:cs="細明體" w:ascii="標楷體" w:hAnsi="標楷體"/>
                <w:spacing w:val="-20"/>
                <w:sz w:val="32"/>
                <w:szCs w:val="32"/>
                <w:u w:val="single"/>
              </w:rPr>
              <w:t>178</w:t>
            </w:r>
            <w:r>
              <w:rPr>
                <w:rFonts w:ascii="標楷體" w:hAnsi="標楷體" w:cs="細明體" w:eastAsia="標楷體"/>
                <w:spacing w:val="-20"/>
                <w:sz w:val="32"/>
                <w:szCs w:val="32"/>
                <w:u w:val="single"/>
              </w:rPr>
              <w:t>　刪除</w:t>
            </w:r>
          </w:p>
        </w:tc>
        <w:tc>
          <w:tcPr>
            <w:tcW w:w="2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/>
            </w:pPr>
            <w:r>
              <w:rPr>
                <w:rStyle w:val="Style14"/>
                <w:rFonts w:ascii="標楷體" w:hAnsi="標楷體" w:cs="細明體" w:eastAsia="標楷體"/>
                <w:sz w:val="32"/>
                <w:szCs w:val="32"/>
              </w:rPr>
              <w:t>本項刪除，移列至第三級毒品第三百四十九款</w:t>
            </w:r>
            <w:r>
              <w:rPr>
                <w:rStyle w:val="Style14"/>
                <w:rFonts w:ascii="標楷體" w:hAnsi="標楷體" w:cs="細明體" w:eastAsia="標楷體"/>
                <w:spacing w:val="-20"/>
                <w:sz w:val="32"/>
                <w:szCs w:val="32"/>
              </w:rPr>
              <w:t>。</w:t>
            </w:r>
          </w:p>
        </w:tc>
      </w:tr>
    </w:tbl>
    <w:p>
      <w:pPr>
        <w:pStyle w:val="Style17"/>
        <w:jc w:val="both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附表三</w:t>
      </w:r>
    </w:p>
    <w:p>
      <w:pPr>
        <w:pStyle w:val="Style17"/>
        <w:widowControl/>
        <w:tabs>
          <w:tab w:val="clear" w:pos="4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ind w:start="24" w:end="24" w:hanging="0"/>
        <w:jc w:val="both"/>
        <w:rPr>
          <w:rFonts w:ascii="標楷體" w:hAnsi="標楷體" w:eastAsia="標楷體" w:cs="細明體"/>
          <w:spacing w:val="-20"/>
          <w:sz w:val="32"/>
          <w:szCs w:val="32"/>
        </w:rPr>
      </w:pPr>
      <w:r>
        <w:rPr>
          <w:rFonts w:ascii="標楷體" w:hAnsi="標楷體" w:cs="細明體" w:eastAsia="標楷體"/>
          <w:spacing w:val="-20"/>
          <w:sz w:val="32"/>
          <w:szCs w:val="32"/>
        </w:rPr>
        <w:t xml:space="preserve">第三級毒品（除特別規定外，皆包括其異構物 </w:t>
      </w:r>
      <w:r>
        <w:rPr>
          <w:rFonts w:eastAsia="標楷體" w:cs="細明體" w:ascii="標楷體" w:hAnsi="標楷體"/>
          <w:spacing w:val="-20"/>
          <w:sz w:val="32"/>
          <w:szCs w:val="32"/>
        </w:rPr>
        <w:t>Isomers</w:t>
      </w:r>
      <w:r>
        <w:rPr>
          <w:rFonts w:ascii="標楷體" w:hAnsi="標楷體" w:cs="細明體" w:eastAsia="標楷體"/>
          <w:spacing w:val="-20"/>
          <w:sz w:val="32"/>
          <w:szCs w:val="32"/>
        </w:rPr>
        <w:t xml:space="preserve">、酯類 </w:t>
      </w:r>
      <w:r>
        <w:rPr>
          <w:rFonts w:eastAsia="標楷體" w:cs="細明體" w:ascii="標楷體" w:hAnsi="標楷體"/>
          <w:spacing w:val="-20"/>
          <w:sz w:val="32"/>
          <w:szCs w:val="32"/>
        </w:rPr>
        <w:t>Esters</w:t>
      </w:r>
      <w:r>
        <w:rPr>
          <w:rFonts w:ascii="標楷體" w:hAnsi="標楷體" w:cs="細明體" w:eastAsia="標楷體"/>
          <w:spacing w:val="-20"/>
          <w:sz w:val="32"/>
          <w:szCs w:val="32"/>
        </w:rPr>
        <w:t xml:space="preserve">、醚類 </w:t>
      </w:r>
      <w:r>
        <w:rPr>
          <w:rFonts w:eastAsia="標楷體" w:cs="細明體" w:ascii="標楷體" w:hAnsi="標楷體"/>
          <w:spacing w:val="-20"/>
          <w:sz w:val="32"/>
          <w:szCs w:val="32"/>
        </w:rPr>
        <w:t xml:space="preserve">Ethers </w:t>
      </w:r>
      <w:r>
        <w:rPr>
          <w:rFonts w:ascii="標楷體" w:hAnsi="標楷體" w:cs="細明體" w:eastAsia="標楷體"/>
          <w:spacing w:val="-20"/>
          <w:sz w:val="32"/>
          <w:szCs w:val="32"/>
        </w:rPr>
        <w:t xml:space="preserve">及鹽類 </w:t>
      </w:r>
      <w:r>
        <w:rPr>
          <w:rFonts w:eastAsia="標楷體" w:cs="細明體" w:ascii="標楷體" w:hAnsi="標楷體"/>
          <w:spacing w:val="-20"/>
          <w:sz w:val="32"/>
          <w:szCs w:val="32"/>
        </w:rPr>
        <w:t>Salts</w:t>
      </w:r>
      <w:r>
        <w:rPr>
          <w:rFonts w:ascii="標楷體" w:hAnsi="標楷體" w:cs="細明體" w:eastAsia="標楷體"/>
          <w:spacing w:val="-20"/>
          <w:sz w:val="32"/>
          <w:szCs w:val="32"/>
        </w:rPr>
        <w:t>）</w:t>
      </w:r>
    </w:p>
    <w:tbl>
      <w:tblPr>
        <w:tblW w:w="9039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2991"/>
      </w:tblGrid>
      <w:tr>
        <w:trPr/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品          項</w:t>
            </w:r>
          </w:p>
        </w:tc>
        <w:tc>
          <w:tcPr>
            <w:tcW w:w="2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備          註</w:t>
            </w:r>
          </w:p>
        </w:tc>
      </w:tr>
      <w:tr>
        <w:trPr/>
        <w:tc>
          <w:tcPr>
            <w:tcW w:w="6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start="899" w:end="24" w:hanging="899"/>
              <w:jc w:val="both"/>
              <w:rPr/>
            </w:pP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 xml:space="preserve">349 </w:t>
            </w:r>
            <w:r>
              <w:rPr>
                <w:rStyle w:val="Style14"/>
                <w:rFonts w:eastAsia="標楷體" w:cs="細明體" w:ascii="標楷體" w:hAnsi="標楷體"/>
                <w:sz w:val="32"/>
                <w:szCs w:val="32"/>
                <w:u w:val="single"/>
              </w:rPr>
              <w:t>3,4-</w:t>
            </w:r>
            <w:r>
              <w:rPr>
                <w:rStyle w:val="Style14"/>
                <w:rFonts w:ascii="標楷體" w:hAnsi="標楷體" w:cs="細明體" w:eastAsia="標楷體"/>
                <w:sz w:val="32"/>
                <w:szCs w:val="32"/>
                <w:u w:val="single"/>
              </w:rPr>
              <w:t>亞甲基雙氧苯基甲胺戊酮（</w:t>
            </w:r>
            <w:r>
              <w:rPr>
                <w:rStyle w:val="Style14"/>
                <w:rFonts w:eastAsia="標楷體" w:cs="細明體" w:ascii="標楷體" w:hAnsi="標楷體"/>
                <w:sz w:val="32"/>
                <w:szCs w:val="32"/>
                <w:u w:val="single"/>
              </w:rPr>
              <w:t>Pentylone</w:t>
            </w:r>
            <w:r>
              <w:rPr>
                <w:rStyle w:val="Style14"/>
                <w:rFonts w:ascii="標楷體" w:hAnsi="標楷體" w:cs="細明體" w:eastAsia="標楷體"/>
                <w:sz w:val="32"/>
                <w:szCs w:val="32"/>
                <w:u w:val="single"/>
              </w:rPr>
              <w:t>）</w:t>
            </w:r>
          </w:p>
        </w:tc>
        <w:tc>
          <w:tcPr>
            <w:tcW w:w="2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</w:rPr>
              <w:t>本項新增，由原第二級毒品第一百七十八款</w:t>
            </w:r>
            <w:r>
              <w:rPr>
                <w:rStyle w:val="Style14"/>
                <w:rFonts w:ascii="標楷體" w:hAnsi="標楷體" w:cs="細明體" w:eastAsia="標楷體"/>
                <w:sz w:val="32"/>
                <w:szCs w:val="32"/>
              </w:rPr>
              <w:t>移列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</w:rPr>
              <w:t>。</w:t>
            </w:r>
          </w:p>
        </w:tc>
      </w:tr>
    </w:tbl>
    <w:p>
      <w:pPr>
        <w:pStyle w:val="Style17"/>
        <w:widowControl/>
        <w:tabs>
          <w:tab w:val="clear" w:pos="4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ind w:start="24" w:end="24" w:hanging="0"/>
        <w:jc w:val="both"/>
        <w:rPr>
          <w:rFonts w:ascii="標楷體" w:hAnsi="標楷體" w:eastAsia="標楷體" w:cs="細明體"/>
          <w:spacing w:val="-20"/>
          <w:sz w:val="32"/>
          <w:szCs w:val="32"/>
        </w:rPr>
      </w:pPr>
      <w:r>
        <w:rPr>
          <w:rFonts w:eastAsia="標楷體" w:cs="細明體" w:ascii="標楷體" w:hAnsi="標楷體"/>
          <w:spacing w:val="-20"/>
          <w:sz w:val="32"/>
          <w:szCs w:val="32"/>
        </w:rPr>
      </w:r>
    </w:p>
    <w:p>
      <w:pPr>
        <w:pStyle w:val="Style17"/>
        <w:widowControl/>
        <w:tabs>
          <w:tab w:val="clear" w:pos="4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460"/>
        <w:jc w:val="both"/>
        <w:rPr>
          <w:rFonts w:ascii="標楷體" w:hAnsi="標楷體" w:eastAsia="標楷體" w:cs="細明體"/>
          <w:sz w:val="32"/>
          <w:szCs w:val="32"/>
        </w:rPr>
      </w:pPr>
      <w:r>
        <w:rPr>
          <w:rFonts w:ascii="標楷體" w:hAnsi="標楷體" w:cs="細明體" w:eastAsia="標楷體"/>
          <w:sz w:val="32"/>
          <w:szCs w:val="32"/>
        </w:rPr>
        <w:t>附表四</w:t>
      </w:r>
    </w:p>
    <w:p>
      <w:pPr>
        <w:pStyle w:val="Style17"/>
        <w:autoSpaceDE w:val="false"/>
        <w:snapToGrid w:val="false"/>
        <w:jc w:val="both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Style17"/>
        <w:autoSpaceDE w:val="false"/>
        <w:snapToGrid w:val="false"/>
        <w:jc w:val="both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第四級毒品（包括毒品先驅原料，除特別規定外，皆包括其異構物</w:t>
      </w:r>
      <w:r>
        <w:rPr>
          <w:rFonts w:eastAsia="標楷體" w:cs="標楷體" w:ascii="標楷體" w:hAnsi="標楷體"/>
          <w:sz w:val="32"/>
          <w:szCs w:val="32"/>
        </w:rPr>
        <w:t>Isomers</w:t>
      </w:r>
      <w:r>
        <w:rPr>
          <w:rFonts w:ascii="標楷體" w:hAnsi="標楷體" w:cs="標楷體" w:eastAsia="標楷體"/>
          <w:sz w:val="32"/>
          <w:szCs w:val="32"/>
        </w:rPr>
        <w:t>、酯類</w:t>
      </w:r>
      <w:r>
        <w:rPr>
          <w:rFonts w:eastAsia="標楷體" w:cs="標楷體" w:ascii="標楷體" w:hAnsi="標楷體"/>
          <w:sz w:val="32"/>
          <w:szCs w:val="32"/>
        </w:rPr>
        <w:t>Esters</w:t>
      </w:r>
      <w:r>
        <w:rPr>
          <w:rFonts w:ascii="標楷體" w:hAnsi="標楷體" w:cs="標楷體" w:eastAsia="標楷體"/>
          <w:sz w:val="32"/>
          <w:szCs w:val="32"/>
        </w:rPr>
        <w:t>、醚類</w:t>
      </w:r>
      <w:r>
        <w:rPr>
          <w:rFonts w:eastAsia="標楷體" w:cs="標楷體" w:ascii="標楷體" w:hAnsi="標楷體"/>
          <w:sz w:val="32"/>
          <w:szCs w:val="32"/>
        </w:rPr>
        <w:t>Ethers</w:t>
      </w:r>
      <w:r>
        <w:rPr>
          <w:rFonts w:ascii="標楷體" w:hAnsi="標楷體" w:cs="標楷體" w:eastAsia="標楷體"/>
          <w:sz w:val="32"/>
          <w:szCs w:val="32"/>
        </w:rPr>
        <w:t>及鹽類</w:t>
      </w:r>
      <w:r>
        <w:rPr>
          <w:rFonts w:eastAsia="標楷體" w:cs="標楷體" w:ascii="標楷體" w:hAnsi="標楷體"/>
          <w:sz w:val="32"/>
          <w:szCs w:val="32"/>
        </w:rPr>
        <w:t>Salts</w:t>
      </w:r>
      <w:r>
        <w:rPr>
          <w:rFonts w:ascii="標楷體" w:hAnsi="標楷體" w:cs="標楷體" w:eastAsia="標楷體"/>
          <w:sz w:val="32"/>
          <w:szCs w:val="32"/>
        </w:rPr>
        <w:t xml:space="preserve">） </w:t>
      </w:r>
    </w:p>
    <w:tbl>
      <w:tblPr>
        <w:tblW w:w="9039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62"/>
        <w:gridCol w:w="2977"/>
      </w:tblGrid>
      <w:tr>
        <w:trPr/>
        <w:tc>
          <w:tcPr>
            <w:tcW w:w="6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 xml:space="preserve">品           項 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備        註</w:t>
            </w:r>
          </w:p>
        </w:tc>
      </w:tr>
      <w:tr>
        <w:trPr/>
        <w:tc>
          <w:tcPr>
            <w:tcW w:w="6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start="304" w:end="24" w:hanging="280"/>
              <w:jc w:val="both"/>
              <w:rPr/>
            </w:pPr>
            <w:r>
              <w:rPr>
                <w:rStyle w:val="Style14"/>
                <w:rFonts w:ascii="標楷體" w:hAnsi="標楷體" w:cs="細明體" w:eastAsia="標楷體"/>
                <w:spacing w:val="-20"/>
                <w:sz w:val="32"/>
                <w:szCs w:val="32"/>
              </w:rPr>
              <w:t>毒品先驅原料</w:t>
            </w:r>
          </w:p>
          <w:p>
            <w:pPr>
              <w:pStyle w:val="Style17"/>
              <w:widowControl/>
              <w:tabs>
                <w:tab w:val="clear" w:pos="480"/>
              </w:tabs>
              <w:suppressAutoHyphens w:val="true"/>
              <w:overflowPunct w:val="false"/>
              <w:autoSpaceDE w:val="false"/>
              <w:snapToGrid w:val="false"/>
              <w:ind w:start="480" w:hanging="480"/>
              <w:jc w:val="both"/>
              <w:textAlignment w:val="baseline"/>
              <w:rPr/>
            </w:pP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42 1-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甲基苯基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-1-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丙酮（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1-Methylphenyl-1-propanone(Methylpropiophenone)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）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[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包含其異構物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1-(4-Methylphenyl)-1-propanone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2-Methyl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3-Methyl]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本項新增</w:t>
            </w:r>
          </w:p>
        </w:tc>
      </w:tr>
      <w:tr>
        <w:trPr/>
        <w:tc>
          <w:tcPr>
            <w:tcW w:w="6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start="344" w:end="24" w:hanging="320"/>
              <w:jc w:val="both"/>
              <w:rPr/>
            </w:pP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43 1-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苯基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-2-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硝基丙烯（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1-Phenyl-2-nitropropene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z w:val="32"/>
                <w:szCs w:val="32"/>
                <w:u w:val="single"/>
              </w:rPr>
              <w:t>P2NP</w:t>
            </w:r>
            <w:r>
              <w:rPr>
                <w:rStyle w:val="Style14"/>
                <w:rFonts w:ascii="標楷體" w:hAnsi="標楷體" w:cs="新細明體" w:eastAsia="標楷體"/>
                <w:sz w:val="32"/>
                <w:szCs w:val="32"/>
                <w:u w:val="single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Style17"/>
              <w:widowControl/>
              <w:tabs>
                <w:tab w:val="clear" w:pos="48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end="24" w:hanging="0"/>
              <w:jc w:val="both"/>
              <w:rPr>
                <w:rFonts w:ascii="標楷體" w:hAnsi="標楷體" w:eastAsia="標楷體" w:cs="細明體"/>
                <w:spacing w:val="-20"/>
                <w:sz w:val="32"/>
                <w:szCs w:val="32"/>
              </w:rPr>
            </w:pPr>
            <w:r>
              <w:rPr>
                <w:rFonts w:ascii="標楷體" w:hAnsi="標楷體" w:cs="細明體" w:eastAsia="標楷體"/>
                <w:spacing w:val="-20"/>
                <w:sz w:val="32"/>
                <w:szCs w:val="32"/>
              </w:rPr>
              <w:t>本項新增</w:t>
            </w:r>
          </w:p>
        </w:tc>
      </w:tr>
    </w:tbl>
    <w:p>
      <w:pPr>
        <w:pStyle w:val="Style17"/>
        <w:jc w:val="both"/>
        <w:rPr>
          <w:rFonts w:ascii="標楷體" w:hAnsi="標楷體" w:eastAsia="標楷體"/>
          <w:sz w:val="32"/>
          <w:szCs w:val="32"/>
        </w:rPr>
      </w:pPr>
      <w:r>
        <w:rPr>
          <w:rFonts w:eastAsia="標楷體" w:ascii="標楷體" w:hAnsi="標楷體"/>
          <w:sz w:val="32"/>
          <w:szCs w:val="32"/>
        </w:rPr>
      </w:r>
    </w:p>
    <w:sectPr>
      <w:type w:val="nextPage"/>
      <w:pgSz w:w="11906" w:h="16838"/>
      <w:pgMar w:left="1800" w:right="1700" w:header="0" w:top="1440" w:footer="0" w:bottom="1440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新細明體">
    <w:charset w:val="00" w:characterSet="iso-8859-1"/>
    <w:family w:val="roman"/>
    <w:pitch w:val="variable"/>
  </w:font>
  <w:font w:name="標楷體">
    <w:charset w:val="00" w:characterSet="iso-8859-1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rFonts w:eastAsia="細明體"/>
    </w:rPr>
  </w:style>
  <w:style w:type="character" w:styleId="Style16">
    <w:name w:val="頁尾 字元"/>
    <w:qFormat/>
    <w:rPr>
      <w:rFonts w:eastAsia="細明體"/>
    </w:rPr>
  </w:style>
  <w:style w:type="paragraph" w:styleId="Style17">
    <w:name w:val="內文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</w:pPr>
    <w:rPr>
      <w:rFonts w:eastAsia="細明體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Web">
    <w:name w:val="內文 (Web)"/>
    <w:basedOn w:val="Style17"/>
    <w:qFormat/>
    <w:pPr>
      <w:widowControl/>
      <w:suppressAutoHyphens w:val="true"/>
      <w:spacing w:before="100" w:after="100"/>
    </w:pPr>
    <w:rPr>
      <w:rFonts w:ascii="新細明體" w:hAnsi="新細明體" w:eastAsia="新細明體" w:cs="新細明體"/>
    </w:rPr>
  </w:style>
  <w:style w:type="paragraph" w:styleId="Style18">
    <w:name w:val="頁首"/>
    <w:basedOn w:val="Style17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頁尾"/>
    <w:basedOn w:val="Style17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LibreOffice/6.3.2.2$Linux_X86_64 LibreOffice_project/98b30e735bda24bc04ab42594c85f7fd8be07b9c</Application>
  <Pages>1</Pages>
  <Words>84</Words>
  <CharactersWithSpaces>564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2023-11-09T09:13:00Z</dcterms:created>
  <dc:creator>user</dc:creator>
  <dc:description/>
  <dc:language>en-US</dc:language>
  <cp:lastModifiedBy>湯璧榕</cp:lastModifiedBy>
  <dcterms:modified xsi:type="dcterms:W3CDTF">2023-11-09T09:13:00Z</dcterms:modified>
  <cp:revision>2</cp:revision>
  <dc:subject/>
  <dc:title>修正「毒品之分級及品項」部分分級及品項</dc:title>
</cp:coreProperties>
</file>