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napToGrid w:val="false"/>
        <w:spacing w:lineRule="exact" w:line="560"/>
        <w:rPr>
          <w:rFonts w:ascii="Times New Roman" w:hAnsi="Times New Roman" w:eastAsia="標楷體" w:cs="Times New Roman"/>
          <w:bCs/>
          <w:color w:val="000000"/>
          <w:spacing w:val="-2"/>
          <w:sz w:val="40"/>
          <w:szCs w:val="40"/>
        </w:rPr>
      </w:pPr>
      <w:r>
        <w:rPr>
          <w:rFonts w:ascii="Times New Roman" w:hAnsi="Times New Roman" w:cs="Times New Roman" w:eastAsia="標楷體"/>
          <w:bCs/>
          <w:color w:val="000000"/>
          <w:spacing w:val="-2"/>
          <w:sz w:val="40"/>
          <w:szCs w:val="40"/>
        </w:rPr>
        <w:t>各類型船舶入出國際商港核准程序及管理作業要點</w:t>
      </w:r>
    </w:p>
    <w:p>
      <w:pPr>
        <w:pStyle w:val="Standard"/>
        <w:spacing w:lineRule="exact" w:line="320"/>
        <w:jc w:val="right"/>
        <w:rPr>
          <w:rFonts w:ascii="Times New Roman" w:hAnsi="Times New Roman" w:eastAsia="標楷體" w:cs="Times New Roman"/>
          <w:kern w:val="0"/>
        </w:rPr>
      </w:pPr>
      <w:r>
        <w:rPr>
          <w:rFonts w:ascii="Times New Roman" w:hAnsi="Times New Roman" w:cs="Times New Roman" w:eastAsia="標楷體"/>
          <w:kern w:val="0"/>
        </w:rPr>
        <w:t>交通部航港局</w:t>
      </w:r>
      <w:r>
        <w:rPr>
          <w:rFonts w:eastAsia="標楷體" w:cs="Times New Roman" w:ascii="Times New Roman" w:hAnsi="Times New Roman"/>
          <w:kern w:val="0"/>
        </w:rPr>
        <w:t>103</w:t>
      </w:r>
      <w:r>
        <w:rPr>
          <w:rFonts w:ascii="Times New Roman" w:hAnsi="Times New Roman" w:cs="Times New Roman" w:eastAsia="標楷體"/>
          <w:kern w:val="0"/>
        </w:rPr>
        <w:t>年</w:t>
      </w:r>
      <w:r>
        <w:rPr>
          <w:rFonts w:eastAsia="標楷體" w:cs="Times New Roman" w:ascii="Times New Roman" w:hAnsi="Times New Roman"/>
          <w:kern w:val="0"/>
        </w:rPr>
        <w:t>9</w:t>
      </w:r>
      <w:r>
        <w:rPr>
          <w:rFonts w:ascii="Times New Roman" w:hAnsi="Times New Roman" w:cs="Times New Roman" w:eastAsia="標楷體"/>
          <w:kern w:val="0"/>
        </w:rPr>
        <w:t>月</w:t>
      </w:r>
      <w:r>
        <w:rPr>
          <w:rFonts w:eastAsia="標楷體" w:cs="Times New Roman" w:ascii="Times New Roman" w:hAnsi="Times New Roman"/>
          <w:kern w:val="0"/>
        </w:rPr>
        <w:t>30</w:t>
      </w:r>
      <w:r>
        <w:rPr>
          <w:rFonts w:ascii="Times New Roman" w:hAnsi="Times New Roman" w:cs="Times New Roman" w:eastAsia="標楷體"/>
          <w:kern w:val="0"/>
        </w:rPr>
        <w:t>日航港字第</w:t>
      </w:r>
      <w:r>
        <w:rPr>
          <w:rFonts w:eastAsia="標楷體" w:cs="Times New Roman" w:ascii="Times New Roman" w:hAnsi="Times New Roman"/>
          <w:kern w:val="0"/>
        </w:rPr>
        <w:t>1030059290</w:t>
      </w:r>
      <w:r>
        <w:rPr>
          <w:rFonts w:ascii="Times New Roman" w:hAnsi="Times New Roman" w:cs="Times New Roman" w:eastAsia="標楷體"/>
          <w:kern w:val="0"/>
        </w:rPr>
        <w:t>號函訂定</w:t>
      </w:r>
    </w:p>
    <w:p>
      <w:pPr>
        <w:pStyle w:val="Standard"/>
        <w:spacing w:lineRule="exact" w:line="320"/>
        <w:jc w:val="right"/>
        <w:rPr>
          <w:rFonts w:ascii="Times New Roman" w:hAnsi="Times New Roman" w:eastAsia="標楷體" w:cs="Times New Roman"/>
          <w:kern w:val="0"/>
        </w:rPr>
      </w:pPr>
      <w:r>
        <w:rPr>
          <w:rFonts w:ascii="Times New Roman" w:hAnsi="Times New Roman" w:cs="Times New Roman" w:eastAsia="標楷體"/>
          <w:kern w:val="0"/>
        </w:rPr>
        <w:t>交通部航港局</w:t>
      </w:r>
      <w:r>
        <w:rPr>
          <w:rFonts w:eastAsia="標楷體" w:cs="Times New Roman" w:ascii="Times New Roman" w:hAnsi="Times New Roman"/>
          <w:kern w:val="0"/>
        </w:rPr>
        <w:t>104</w:t>
      </w:r>
      <w:r>
        <w:rPr>
          <w:rFonts w:ascii="Times New Roman" w:hAnsi="Times New Roman" w:cs="Times New Roman" w:eastAsia="標楷體"/>
          <w:kern w:val="0"/>
        </w:rPr>
        <w:t>年</w:t>
      </w:r>
      <w:r>
        <w:rPr>
          <w:rFonts w:eastAsia="標楷體" w:cs="Times New Roman" w:ascii="Times New Roman" w:hAnsi="Times New Roman"/>
          <w:kern w:val="0"/>
        </w:rPr>
        <w:t>2</w:t>
      </w:r>
      <w:r>
        <w:rPr>
          <w:rFonts w:ascii="Times New Roman" w:hAnsi="Times New Roman" w:cs="Times New Roman" w:eastAsia="標楷體"/>
          <w:kern w:val="0"/>
        </w:rPr>
        <w:t>月</w:t>
      </w:r>
      <w:r>
        <w:rPr>
          <w:rFonts w:eastAsia="標楷體" w:cs="Times New Roman" w:ascii="Times New Roman" w:hAnsi="Times New Roman"/>
          <w:kern w:val="0"/>
        </w:rPr>
        <w:t>26</w:t>
      </w:r>
      <w:r>
        <w:rPr>
          <w:rFonts w:ascii="Times New Roman" w:hAnsi="Times New Roman" w:cs="Times New Roman" w:eastAsia="標楷體"/>
          <w:kern w:val="0"/>
        </w:rPr>
        <w:t>日航港字第</w:t>
      </w:r>
      <w:r>
        <w:rPr>
          <w:rFonts w:eastAsia="標楷體" w:cs="Times New Roman" w:ascii="Times New Roman" w:hAnsi="Times New Roman"/>
          <w:kern w:val="0"/>
        </w:rPr>
        <w:t>1040051765</w:t>
      </w:r>
      <w:r>
        <w:rPr>
          <w:rFonts w:ascii="Times New Roman" w:hAnsi="Times New Roman" w:cs="Times New Roman" w:eastAsia="標楷體"/>
          <w:kern w:val="0"/>
        </w:rPr>
        <w:t>號函修正</w:t>
      </w:r>
    </w:p>
    <w:p>
      <w:pPr>
        <w:pStyle w:val="Standard"/>
        <w:kinsoku w:val="false"/>
        <w:spacing w:lineRule="exact" w:line="320"/>
        <w:jc w:val="right"/>
        <w:rPr/>
      </w:pPr>
      <w:r>
        <w:rPr>
          <w:rStyle w:val="Style14"/>
          <w:rFonts w:ascii="Times New Roman" w:hAnsi="Times New Roman" w:cs="Times New Roman" w:eastAsia="標楷體"/>
          <w:kern w:val="0"/>
        </w:rPr>
        <w:t>交通部航港局</w:t>
      </w:r>
      <w:r>
        <w:rPr>
          <w:rStyle w:val="Style14"/>
          <w:rFonts w:eastAsia="標楷體" w:cs="Times New Roman" w:ascii="Times New Roman" w:hAnsi="Times New Roman"/>
          <w:kern w:val="0"/>
        </w:rPr>
        <w:t>110</w:t>
      </w:r>
      <w:r>
        <w:rPr>
          <w:rStyle w:val="Style14"/>
          <w:rFonts w:ascii="Times New Roman" w:hAnsi="Times New Roman" w:cs="Times New Roman" w:eastAsia="標楷體"/>
          <w:kern w:val="0"/>
        </w:rPr>
        <w:t>年</w:t>
      </w:r>
      <w:r>
        <w:rPr>
          <w:rStyle w:val="Style14"/>
          <w:rFonts w:eastAsia="標楷體" w:cs="Times New Roman" w:ascii="Times New Roman" w:hAnsi="Times New Roman"/>
          <w:kern w:val="0"/>
        </w:rPr>
        <w:t>6</w:t>
      </w:r>
      <w:r>
        <w:rPr>
          <w:rStyle w:val="Style14"/>
          <w:rFonts w:ascii="Times New Roman" w:hAnsi="Times New Roman" w:cs="Times New Roman" w:eastAsia="標楷體"/>
          <w:kern w:val="0"/>
        </w:rPr>
        <w:t>月</w:t>
      </w:r>
      <w:r>
        <w:rPr>
          <w:rStyle w:val="Style14"/>
          <w:rFonts w:eastAsia="標楷體" w:cs="Times New Roman" w:ascii="Times New Roman" w:hAnsi="Times New Roman"/>
          <w:kern w:val="0"/>
        </w:rPr>
        <w:t>4</w:t>
      </w:r>
      <w:r>
        <w:rPr>
          <w:rStyle w:val="Style14"/>
          <w:rFonts w:ascii="Times New Roman" w:hAnsi="Times New Roman" w:cs="Times New Roman" w:eastAsia="標楷體"/>
          <w:kern w:val="0"/>
        </w:rPr>
        <w:t>日航港字第</w:t>
      </w:r>
      <w:r>
        <w:rPr>
          <w:rStyle w:val="Style14"/>
          <w:rFonts w:eastAsia="標楷體" w:cs="Times New Roman" w:ascii="Times New Roman" w:hAnsi="Times New Roman"/>
          <w:kern w:val="0"/>
        </w:rPr>
        <w:t>1101810749</w:t>
      </w:r>
      <w:r>
        <w:rPr>
          <w:rStyle w:val="Style14"/>
          <w:rFonts w:ascii="Times New Roman" w:hAnsi="Times New Roman" w:cs="Times New Roman" w:eastAsia="標楷體"/>
          <w:kern w:val="0"/>
        </w:rPr>
        <w:t>號函修正</w:t>
      </w:r>
    </w:p>
    <w:p>
      <w:pPr>
        <w:pStyle w:val="Style21"/>
        <w:tabs>
          <w:tab w:val="left" w:pos="1134" w:leader="none"/>
        </w:tabs>
        <w:spacing w:lineRule="exact" w:line="400" w:before="180" w:after="18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一、交通部航港局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以下簡稱本局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與商港經營事業機構為簡化船舶入出港報告程序，明確劃分權責，並提升國際商港區域內之航行安全及秩序，特訂定本要點。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二、各類型船舶入出國際商港及在港區之作業，除法令另有規定外，依本要點之規定辦理。</w:t>
      </w:r>
    </w:p>
    <w:p>
      <w:pPr>
        <w:pStyle w:val="Style21"/>
        <w:tabs>
          <w:tab w:val="left" w:pos="1134" w:leader="none"/>
        </w:tabs>
        <w:spacing w:lineRule="exact" w:line="40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三、各類型船舶入出國際商港，應依商港法第十九條及商港港務管理規則之相關規定，辦理船舶入出港預報及入港報告。但下列船舶不在此限：</w:t>
      </w:r>
    </w:p>
    <w:p>
      <w:pPr>
        <w:pStyle w:val="Style21"/>
        <w:snapToGrid w:val="false"/>
        <w:spacing w:lineRule="exact" w:line="400"/>
        <w:ind w:left="1280" w:hanging="560"/>
        <w:jc w:val="both"/>
        <w:rPr/>
      </w:pP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一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軍事建制艦艇及各級政府之公務船。</w:t>
      </w:r>
    </w:p>
    <w:p>
      <w:pPr>
        <w:pStyle w:val="Style21"/>
        <w:snapToGrid w:val="false"/>
        <w:spacing w:lineRule="exact" w:line="400"/>
        <w:ind w:left="1280" w:hanging="560"/>
        <w:jc w:val="both"/>
        <w:rPr/>
      </w:pP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二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國際商港區域內經營港區業務且不涉及入出港之各類型港勤船，包括拖船、駁船、起重船、帶解纜船、引水船、加水船、加油船、清潔船、挖泥船及載送港區相關單位人員暨船用品之交通船。</w:t>
      </w:r>
    </w:p>
    <w:p>
      <w:pPr>
        <w:pStyle w:val="Style21"/>
        <w:snapToGrid w:val="false"/>
        <w:spacing w:lineRule="exact" w:line="400"/>
        <w:ind w:left="1280" w:hanging="560"/>
        <w:jc w:val="both"/>
        <w:rPr/>
      </w:pP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三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設置於國際商港區域內或區域外之漁港、船澳及公民營遊艇碼頭，其本國籍漁船及未涉入出境之遊艇入出港，與商輪共用航道者。</w:t>
      </w:r>
    </w:p>
    <w:p>
      <w:pPr>
        <w:pStyle w:val="Style21"/>
        <w:tabs>
          <w:tab w:val="left" w:pos="1134" w:leader="none"/>
        </w:tabs>
        <w:spacing w:lineRule="exact" w:line="400"/>
        <w:ind w:left="567" w:hanging="0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前項第一款船舶於入出港前，應以超高頻無線電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以下簡稱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VHF)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向該港之航管中心或信號臺報告，經其同意後，按排定之次序入出港。免在航港單一窗口服務平臺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以下簡稱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MTNet)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辦理入出港預報及入港報告。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567" w:hanging="0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第一項第三款商輪、漁船共用之航道，由商港經營事業機構劃設，經本局邀集有關單位協商審定後辦理公告。入出該漁港、船澳之本國籍漁船及其他船舶，應遵照國際避碰規則及港區有關規定航行。如不按公告之共用航道航行，擅自進入其他商港區域內，商港經營事業機構得檢具事證，移送本局依商港法規定處分。</w:t>
      </w:r>
    </w:p>
    <w:p>
      <w:pPr>
        <w:pStyle w:val="Style21"/>
        <w:tabs>
          <w:tab w:val="left" w:pos="1134" w:leader="none"/>
        </w:tabs>
        <w:spacing w:lineRule="exact" w:line="40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四、國際商港區域內經營港區業務之各類型港勤船及長期靠泊在港內，或臨時在港內或鄰近海域作業之各類型工作船，須在一特定時期內多次入出同一港口者，免在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MTNet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辦理船舶入出港預報及入港報告，但仍應於入出港前，以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VHF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向航管中心或信號臺報告，經其同意後，按排定之次序入出港。</w:t>
      </w:r>
    </w:p>
    <w:p>
      <w:pPr>
        <w:pStyle w:val="Style21"/>
        <w:tabs>
          <w:tab w:val="left" w:pos="1134" w:leader="none"/>
        </w:tabs>
        <w:spacing w:lineRule="exact" w:line="400"/>
        <w:ind w:left="640" w:hanging="0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前項船舶申請於一定期間內多次入出港，應檢具申請書一份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附件一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，並附下列文件向本局當地航務中心申請：</w:t>
      </w:r>
    </w:p>
    <w:p>
      <w:pPr>
        <w:pStyle w:val="Style21"/>
        <w:snapToGrid w:val="false"/>
        <w:spacing w:lineRule="exact" w:line="400"/>
        <w:ind w:left="1280" w:hanging="560"/>
        <w:jc w:val="both"/>
        <w:rPr/>
      </w:pP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一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各項船舶證照正本及影本各一份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正本驗後發還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。</w:t>
      </w:r>
    </w:p>
    <w:p>
      <w:pPr>
        <w:pStyle w:val="Style21"/>
        <w:snapToGrid w:val="false"/>
        <w:spacing w:lineRule="exact" w:line="400"/>
        <w:ind w:left="1280" w:hanging="560"/>
        <w:jc w:val="both"/>
        <w:rPr/>
      </w:pP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二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船員名單一式三份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附件二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。</w:t>
      </w:r>
    </w:p>
    <w:p>
      <w:pPr>
        <w:pStyle w:val="Style21"/>
        <w:snapToGrid w:val="false"/>
        <w:spacing w:lineRule="exact" w:line="400"/>
        <w:ind w:left="1280" w:hanging="560"/>
        <w:jc w:val="both"/>
        <w:rPr/>
      </w:pP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三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因承包港內，或鄰近海域工程須臨時入出港時，應另加附委託單位或主管機關出具之證明文件，該文件應敘明預計之工程期間。</w:t>
      </w:r>
    </w:p>
    <w:p>
      <w:pPr>
        <w:pStyle w:val="Style21"/>
        <w:snapToGrid w:val="false"/>
        <w:spacing w:lineRule="exact" w:line="400"/>
        <w:ind w:left="1280" w:hanging="560"/>
        <w:jc w:val="both"/>
        <w:rPr/>
      </w:pP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四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租傭船人應檢附租船契約或相當證明文件影本一份。</w:t>
      </w:r>
    </w:p>
    <w:p>
      <w:pPr>
        <w:pStyle w:val="Standard"/>
        <w:tabs>
          <w:tab w:val="left" w:pos="1134" w:leader="none"/>
        </w:tabs>
        <w:spacing w:lineRule="exact" w:line="400"/>
        <w:ind w:left="567" w:hanging="0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本局核准前項申請後，應將核准函副知各有關單位，並將簽證後之船員名單送當地商港安檢所。經簽證之船員名單，如有異動應重新申請簽證始得出港。</w:t>
      </w:r>
    </w:p>
    <w:p>
      <w:pPr>
        <w:pStyle w:val="Standard"/>
        <w:tabs>
          <w:tab w:val="left" w:pos="1134" w:leader="none"/>
        </w:tabs>
        <w:spacing w:lineRule="exact" w:line="400" w:before="0" w:after="180"/>
        <w:ind w:left="567" w:hanging="0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前項所核給多次入出港之期限，不得逾任一船舶證照之有效期限及預計工程期限。各項證照屆期前，得檢送各該新證照或加簽延期之證照，申請延長期限。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五、經核准多次入出港之船舶，有船舶法規定須施行臨時檢查之情形者，原核准多次入出港之文件即行失效，非經本局檢查合格，不得繼續航行，且應依前點規定重新申請。另有隱匿應施行臨時檢查之事項，或以偽造、變造、矇混之方式入出港者，除涉及刑責另依法送辦外，本局並得視情節，於一定期間內，停止受理其多次入出港預報單簽證作業之申請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六、為維船舶航行安全，入出國際商港之各類型船舶，依國際海上人命安全公約及船舶設備規則之相關規定設有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VHF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及符合國際規範船舶自動識別系統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以下簡稱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AIS)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者，應隨時守聽該港區船舶交通服務使用頻道及開啟</w:t>
      </w:r>
      <w:r>
        <w:rPr>
          <w:rStyle w:val="Style14"/>
          <w:rFonts w:eastAsia="標楷體" w:cs="Times New Roman" w:ascii="Times New Roman" w:hAnsi="Times New Roman"/>
          <w:color w:val="000000"/>
          <w:sz w:val="32"/>
          <w:szCs w:val="32"/>
        </w:rPr>
        <w:t>AIS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及維持正常運作。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七、颱風有侵襲國際商港之虞，漁船如無適當安全泊地，除本局依商港法第二十一條拒絕入港者外，經商港經營事業機構同意後，依序駛入指定之水域避難，免依商港法第十九條辦理入出港預報及入港報告。但在避難期間須依港區相關規定接受商港經營事業機構之指揮，並於颱風離境後即離港。</w:t>
      </w:r>
    </w:p>
    <w:p>
      <w:pPr>
        <w:pStyle w:val="Style21"/>
        <w:tabs>
          <w:tab w:val="left" w:pos="1134" w:leader="none"/>
        </w:tabs>
        <w:spacing w:lineRule="exact" w:line="40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八、國際商港區域內之各類型港勤船、工作船、遊艇及從事港區內外觀光之娛樂船舶，由商港經營事業機構依港區情況，訂定其艘數上限、船型、總噸位、營運時間、航行路線及許可停泊之船席。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641" w:hanging="0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船舶所有人或營運人申請前項船舶之增添、汰換、改建或其他變更相關經營事項者，應取得商港經營事業機構之同意文件。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九、專供國際商港區域使用之各類型港勤船舶，除船舶檢查、丈量、船員資格、船員最低安全配額、乘員超載、安全抽查及入出港報告等航政、港政公權力事項由本局管理外，其餘在港區內航行、停泊及其他非屬航政、港政公權力事項，應接受商港經營事業機構之指揮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十、經營國際商港區域內旅客運送、觀光之客船及載客小船，營運期間皆受本局船舶適航性、安全性及有無超載之檢查。其餘在港區內航行、停泊及其他非屬航政、港政公權力事項，應接受商港經營事業機構之指揮。</w:t>
      </w:r>
    </w:p>
    <w:p>
      <w:pPr>
        <w:pStyle w:val="Style21"/>
        <w:tabs>
          <w:tab w:val="left" w:pos="1134" w:leader="none"/>
        </w:tabs>
        <w:spacing w:lineRule="exact" w:line="400" w:before="0" w:after="180"/>
        <w:ind w:left="640" w:hanging="64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十一、各類型船舶入出國際商港及在港區內停泊作業，如有違反商港法、航業法、船舶法、引水法者，商港經營事業機構得檢送相關事證，移送本局依法處分。</w:t>
      </w:r>
      <w:r>
        <w:br w:type="page"/>
      </w:r>
    </w:p>
    <w:p>
      <w:pPr>
        <w:pStyle w:val="Standard"/>
        <w:spacing w:lineRule="exact" w:line="260"/>
        <w:rPr>
          <w:rFonts w:ascii="Times New Roman" w:hAnsi="Times New Roman" w:eastAsia="標楷體" w:cs="Times New Roman"/>
          <w:color w:val="000000"/>
          <w:szCs w:val="24"/>
        </w:rPr>
      </w:pPr>
      <w:r>
        <w:rPr>
          <w:rFonts w:ascii="Times New Roman" w:hAnsi="Times New Roman" w:cs="Times New Roman" w:eastAsia="標楷體"/>
          <w:color w:val="000000"/>
          <w:szCs w:val="24"/>
        </w:rPr>
        <w:t>附件一</w:t>
      </w:r>
    </w:p>
    <w:p>
      <w:pPr>
        <w:pStyle w:val="Standard"/>
        <w:jc w:val="center"/>
        <w:rPr/>
      </w:pP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船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舶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多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次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進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出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港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申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辦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簽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證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申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請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書</w:t>
      </w:r>
    </w:p>
    <w:tbl>
      <w:tblPr>
        <w:tblW w:w="9760" w:type="dxa"/>
        <w:jc w:val="left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13"/>
        <w:gridCol w:w="1382"/>
        <w:gridCol w:w="1920"/>
        <w:gridCol w:w="780"/>
        <w:gridCol w:w="1320"/>
        <w:gridCol w:w="2845"/>
      </w:tblGrid>
      <w:tr>
        <w:trPr>
          <w:trHeight w:val="680" w:hRule="atLeast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船名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中文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國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籍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1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總噸位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船舶種類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呼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所有人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租船人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作業概述</w:t>
            </w:r>
          </w:p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長年靠泊本港者免填</w:t>
            </w: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來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港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目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的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工作海域地點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預定作業期間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擬泊靠地點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船舶下次檢查日期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2"/>
              </w:rPr>
              <w:t>電信執照有效期限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載重線證書下次檢查日期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救生設備許可之</w:t>
            </w:r>
          </w:p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最高搭載人數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2"/>
              </w:rPr>
              <w:t>申請免逐次申辦進出港報告單簽證之期限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  <w:lang w:val="zh-TW"/>
              </w:rPr>
              <w:t>檢附文件﹕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□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  <w:lang w:val="zh-TW"/>
              </w:rPr>
              <w:t>船舶證照正本及影本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  <w:lang w:val="zh-TW"/>
              </w:rPr>
              <w:t xml:space="preserve">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  <w:lang w:val="zh-TW"/>
              </w:rPr>
              <w:t>□船員名單一式三份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  <w:lang w:val="zh-TW"/>
              </w:rPr>
              <w:t xml:space="preserve">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  <w:lang w:val="zh-TW"/>
              </w:rPr>
              <w:t>□租船契約</w:t>
            </w:r>
          </w:p>
          <w:p>
            <w:pPr>
              <w:pStyle w:val="Standard"/>
              <w:ind w:firstLine="1200"/>
              <w:rPr/>
            </w:pPr>
            <w:r>
              <w:rPr>
                <w:rStyle w:val="Style14"/>
                <w:rFonts w:eastAsia="標楷體" w:cs="Times New Roman" w:ascii="Times New Roman" w:hAnsi="Times New Roman"/>
                <w:color w:val="000000"/>
                <w:kern w:val="0"/>
                <w:szCs w:val="24"/>
                <w:lang w:val="zh-TW"/>
              </w:rPr>
              <w:t>□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  <w:lang w:val="zh-TW"/>
              </w:rPr>
              <w:t>委託單位或主管機關出具之證明文件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  <w:lang w:val="zh-TW"/>
              </w:rPr>
              <w:t xml:space="preserve">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  <w:lang w:val="zh-TW"/>
              </w:rPr>
              <w:t>□其他：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  <w:u w:val="single"/>
                <w:lang w:val="zh-TW"/>
              </w:rPr>
              <w:t xml:space="preserve">              </w:t>
            </w:r>
          </w:p>
        </w:tc>
      </w:tr>
      <w:tr>
        <w:trPr>
          <w:trHeight w:val="589" w:hRule="atLeast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申請人</w:t>
            </w:r>
          </w:p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簽章</w:t>
            </w: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地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址：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電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話：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Cs w:val="24"/>
              </w:rPr>
              <w:t xml:space="preserve">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此致</w:t>
            </w:r>
          </w:p>
          <w:p>
            <w:pPr>
              <w:pStyle w:val="Standard"/>
              <w:ind w:firstLine="240"/>
              <w:jc w:val="both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交通部航港局</w:t>
            </w:r>
          </w:p>
          <w:p>
            <w:pPr>
              <w:pStyle w:val="Standard"/>
              <w:ind w:firstLine="24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Cs w:val="24"/>
              </w:rPr>
              <w:t xml:space="preserve">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申請日期：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   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年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    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月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    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日</w:t>
            </w:r>
          </w:p>
        </w:tc>
      </w:tr>
    </w:tbl>
    <w:p>
      <w:pPr>
        <w:pStyle w:val="Standard"/>
        <w:widowControl/>
        <w:ind w:left="-569" w:right="-569" w:hanging="0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</w:rPr>
        <w:t>一式三</w:t>
      </w:r>
      <w:r>
        <w:rPr>
          <w:rStyle w:val="Style14"/>
          <w:rFonts w:ascii="Times New Roman" w:hAnsi="Times New Roman" w:cs="Times New Roman" w:eastAsia="標楷體"/>
          <w:color w:val="000000"/>
          <w:szCs w:val="24"/>
        </w:rPr>
        <w:t>份</w:t>
      </w:r>
      <w:r>
        <w:rPr>
          <w:rStyle w:val="Style14"/>
          <w:rFonts w:eastAsia="標楷體" w:cs="Times New Roman" w:ascii="Times New Roman" w:hAnsi="Times New Roman"/>
          <w:color w:val="000000"/>
          <w:szCs w:val="24"/>
        </w:rPr>
        <w:t>&lt;</w:t>
      </w:r>
      <w:r>
        <w:rPr>
          <w:rStyle w:val="Style14"/>
          <w:rFonts w:ascii="Times New Roman" w:hAnsi="Times New Roman" w:cs="Times New Roman" w:eastAsia="標楷體"/>
          <w:color w:val="000000"/>
        </w:rPr>
        <w:t>核定後一</w:t>
      </w:r>
      <w:r>
        <w:rPr>
          <w:rStyle w:val="Style14"/>
          <w:rFonts w:ascii="Times New Roman" w:hAnsi="Times New Roman" w:cs="Times New Roman" w:eastAsia="標楷體"/>
          <w:color w:val="000000"/>
          <w:szCs w:val="24"/>
        </w:rPr>
        <w:t>份航務中心備查、</w:t>
      </w:r>
      <w:r>
        <w:rPr>
          <w:rStyle w:val="Style14"/>
          <w:rFonts w:ascii="Times New Roman" w:hAnsi="Times New Roman" w:cs="Times New Roman" w:eastAsia="標楷體"/>
          <w:color w:val="000000"/>
        </w:rPr>
        <w:t>一</w:t>
      </w:r>
      <w:r>
        <w:rPr>
          <w:rStyle w:val="Style14"/>
          <w:rFonts w:ascii="Times New Roman" w:hAnsi="Times New Roman" w:cs="Times New Roman" w:eastAsia="標楷體"/>
          <w:color w:val="000000"/>
          <w:szCs w:val="24"/>
        </w:rPr>
        <w:t>份送商港安檢所</w:t>
      </w:r>
      <w:r>
        <w:rPr>
          <w:rStyle w:val="Style14"/>
          <w:rFonts w:eastAsia="標楷體" w:cs="Times New Roman" w:ascii="Times New Roman" w:hAnsi="Times New Roman"/>
          <w:color w:val="000000"/>
          <w:szCs w:val="24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Cs w:val="24"/>
        </w:rPr>
        <w:t>國輪</w:t>
      </w:r>
      <w:r>
        <w:rPr>
          <w:rStyle w:val="Style14"/>
          <w:rFonts w:eastAsia="標楷體" w:cs="Times New Roman" w:ascii="Times New Roman" w:hAnsi="Times New Roman"/>
          <w:color w:val="000000"/>
          <w:szCs w:val="24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Cs w:val="24"/>
        </w:rPr>
        <w:t>，或港務警察總隊</w:t>
      </w:r>
      <w:r>
        <w:rPr>
          <w:rStyle w:val="Style14"/>
          <w:rFonts w:eastAsia="標楷體" w:cs="Times New Roman" w:ascii="Times New Roman" w:hAnsi="Times New Roman"/>
          <w:color w:val="000000"/>
          <w:szCs w:val="24"/>
        </w:rPr>
        <w:t>(</w:t>
      </w:r>
      <w:r>
        <w:rPr>
          <w:rStyle w:val="Style14"/>
          <w:rFonts w:ascii="Times New Roman" w:hAnsi="Times New Roman" w:cs="Times New Roman" w:eastAsia="標楷體"/>
          <w:color w:val="000000"/>
          <w:szCs w:val="24"/>
        </w:rPr>
        <w:t>外輪</w:t>
      </w:r>
      <w:r>
        <w:rPr>
          <w:rStyle w:val="Style14"/>
          <w:rFonts w:eastAsia="標楷體" w:cs="Times New Roman" w:ascii="Times New Roman" w:hAnsi="Times New Roman"/>
          <w:color w:val="000000"/>
          <w:szCs w:val="24"/>
        </w:rPr>
        <w:t>)</w:t>
      </w:r>
      <w:r>
        <w:rPr>
          <w:rStyle w:val="Style14"/>
          <w:rFonts w:ascii="Times New Roman" w:hAnsi="Times New Roman" w:cs="Times New Roman" w:eastAsia="標楷體"/>
          <w:color w:val="000000"/>
          <w:szCs w:val="24"/>
        </w:rPr>
        <w:t>及</w:t>
      </w:r>
      <w:r>
        <w:rPr>
          <w:rStyle w:val="Style14"/>
          <w:rFonts w:ascii="Times New Roman" w:hAnsi="Times New Roman" w:cs="Times New Roman" w:eastAsia="標楷體"/>
          <w:color w:val="000000"/>
        </w:rPr>
        <w:t>一</w:t>
      </w:r>
      <w:r>
        <w:rPr>
          <w:rStyle w:val="Style14"/>
          <w:rFonts w:ascii="Times New Roman" w:hAnsi="Times New Roman" w:cs="Times New Roman" w:eastAsia="標楷體"/>
          <w:color w:val="000000"/>
          <w:szCs w:val="24"/>
        </w:rPr>
        <w:t>份自存。</w:t>
      </w:r>
      <w:r>
        <w:rPr>
          <w:rStyle w:val="Style14"/>
          <w:rFonts w:eastAsia="標楷體" w:cs="Times New Roman" w:ascii="Times New Roman" w:hAnsi="Times New Roman"/>
          <w:color w:val="000000"/>
          <w:szCs w:val="24"/>
        </w:rPr>
        <w:t>&gt;</w:t>
      </w:r>
    </w:p>
    <w:p>
      <w:pPr>
        <w:pStyle w:val="Standard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</w:r>
    </w:p>
    <w:p>
      <w:pPr>
        <w:pStyle w:val="Standard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</w:r>
    </w:p>
    <w:p>
      <w:pPr>
        <w:pStyle w:val="Standard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</w:r>
    </w:p>
    <w:p>
      <w:pPr>
        <w:pStyle w:val="Standard"/>
        <w:rPr>
          <w:rFonts w:ascii="Times New Roman" w:hAnsi="Times New Roman" w:eastAsia="標楷體" w:cs="Times New Roman"/>
          <w:color w:val="000000"/>
        </w:rPr>
      </w:pPr>
      <w:r>
        <w:rPr>
          <w:rFonts w:ascii="Times New Roman" w:hAnsi="Times New Roman" w:cs="Times New Roman" w:eastAsia="標楷體"/>
          <w:color w:val="000000"/>
        </w:rPr>
        <w:t>附件二</w:t>
      </w:r>
    </w:p>
    <w:p>
      <w:pPr>
        <w:pStyle w:val="Standard"/>
        <w:jc w:val="center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32"/>
          <w:szCs w:val="32"/>
          <w:u w:val="single"/>
        </w:rPr>
        <w:t xml:space="preserve">           </w:t>
      </w:r>
      <w:r>
        <w:rPr>
          <w:rStyle w:val="Style14"/>
          <w:rFonts w:eastAsia="Times New Roman" w:cs="Times New Roman" w:ascii="Times New Roman" w:hAnsi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輪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船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舶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船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員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名</w:t>
      </w:r>
      <w:r>
        <w:rPr>
          <w:rStyle w:val="Style14"/>
          <w:rFonts w:ascii="Times New Roman" w:hAnsi="Times New Roman" w:cs="Times New Roman" w:eastAsia="Times New Roman"/>
          <w:color w:val="000000"/>
          <w:sz w:val="32"/>
          <w:szCs w:val="32"/>
        </w:rPr>
        <w:t xml:space="preserve"> </w:t>
      </w:r>
      <w:r>
        <w:rPr>
          <w:rStyle w:val="Style14"/>
          <w:rFonts w:ascii="Times New Roman" w:hAnsi="Times New Roman" w:cs="Times New Roman" w:eastAsia="標楷體"/>
          <w:color w:val="000000"/>
          <w:sz w:val="32"/>
          <w:szCs w:val="32"/>
        </w:rPr>
        <w:t>單</w:t>
      </w:r>
    </w:p>
    <w:tbl>
      <w:tblPr>
        <w:tblW w:w="10330" w:type="dxa"/>
        <w:jc w:val="left"/>
        <w:tblInd w:w="-12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"/>
        <w:gridCol w:w="1156"/>
        <w:gridCol w:w="1042"/>
        <w:gridCol w:w="1616"/>
        <w:gridCol w:w="1158"/>
        <w:gridCol w:w="1422"/>
        <w:gridCol w:w="1245"/>
        <w:gridCol w:w="2230"/>
      </w:tblGrid>
      <w:tr>
        <w:trPr>
          <w:trHeight w:val="412" w:hRule="atLeast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姓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職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出生年月日</w:t>
            </w:r>
          </w:p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身分證統一編號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船員服務手冊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  <w:lang w:val="zh-TW"/>
              </w:rPr>
              <w:t>適任證書</w:t>
            </w: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  <w:lang w:val="zh-TW"/>
              </w:rPr>
              <w:t>/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  <w:lang w:val="zh-TW"/>
              </w:rPr>
              <w:t>小船駕駛執照</w:t>
            </w:r>
          </w:p>
        </w:tc>
      </w:tr>
      <w:tr>
        <w:trPr>
          <w:trHeight w:val="473" w:hRule="atLeast"/>
        </w:trPr>
        <w:tc>
          <w:tcPr>
            <w:tcW w:w="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字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有效期限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字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有效期限</w:t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</w:tc>
      </w:tr>
      <w:tr>
        <w:trPr>
          <w:trHeight w:val="3251" w:hRule="atLeast"/>
        </w:trPr>
        <w:tc>
          <w:tcPr>
            <w:tcW w:w="10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交通部航港局：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                                 </w:t>
            </w:r>
          </w:p>
          <w:p>
            <w:pPr>
              <w:pStyle w:val="Standard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Cs w:val="24"/>
              </w:rPr>
              <w:t xml:space="preserve">                                      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簽章</w:t>
            </w:r>
          </w:p>
          <w:p>
            <w:pPr>
              <w:pStyle w:val="Standard"/>
              <w:jc w:val="both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  <w:p>
            <w:pPr>
              <w:pStyle w:val="Standard"/>
              <w:jc w:val="both"/>
              <w:rPr/>
            </w:pP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簽證日期：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 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年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      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月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       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日</w:t>
            </w:r>
          </w:p>
          <w:p>
            <w:pPr>
              <w:pStyle w:val="Standard"/>
              <w:jc w:val="both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  <w:p>
            <w:pPr>
              <w:pStyle w:val="Standard"/>
              <w:jc w:val="both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Cs w:val="24"/>
              </w:rPr>
            </w:r>
          </w:p>
          <w:p>
            <w:pPr>
              <w:pStyle w:val="Standard"/>
              <w:jc w:val="both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所有人</w:t>
            </w:r>
          </w:p>
          <w:p>
            <w:pPr>
              <w:pStyle w:val="Standard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或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：</w:t>
            </w:r>
            <w:r>
              <w:rPr>
                <w:rStyle w:val="Style14"/>
                <w:rFonts w:ascii="Times New Roman" w:hAnsi="Times New Roman" w:cs="Times New Roman" w:eastAsia="Times New Roman"/>
                <w:color w:val="000000"/>
                <w:kern w:val="0"/>
                <w:szCs w:val="24"/>
              </w:rPr>
              <w:t xml:space="preserve">                                    </w:t>
            </w:r>
            <w:r>
              <w:rPr>
                <w:rStyle w:val="Style14"/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簽章</w:t>
            </w:r>
          </w:p>
          <w:p>
            <w:pPr>
              <w:pStyle w:val="Standard"/>
              <w:jc w:val="both"/>
              <w:rPr>
                <w:rFonts w:ascii="Times New Roman" w:hAnsi="Times New Roman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Cs w:val="24"/>
              </w:rPr>
              <w:t>租船人</w:t>
            </w:r>
          </w:p>
        </w:tc>
      </w:tr>
    </w:tbl>
    <w:p>
      <w:pPr>
        <w:pStyle w:val="Standard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</w:r>
    </w:p>
    <w:sectPr>
      <w:type w:val="nextPage"/>
      <w:pgSz w:w="11906" w:h="16838"/>
      <w:pgMar w:left="1701" w:right="1418" w:header="0" w:top="1418" w:footer="0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標楷體">
    <w:charset w:val="00"/>
    <w:family w:val="script"/>
    <w:pitch w:val="fixed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;PMingLiU" w:cs="F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>
      <w:b w:val="false"/>
      <w:i w:val="false"/>
      <w:color w:val="000000"/>
      <w:sz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標楷體" w:hAnsi="標楷體" w:cs="標楷體"/>
      <w:sz w:val="32"/>
      <w:szCs w:val="28"/>
      <w:lang w:val="en-US"/>
    </w:rPr>
  </w:style>
  <w:style w:type="character" w:styleId="WW8Num6z1">
    <w:name w:val="WW8Num6z1"/>
    <w:qFormat/>
    <w:rPr/>
  </w:style>
  <w:style w:type="character" w:styleId="WW8Num6z2">
    <w:name w:val="WW8Num6z2"/>
    <w:qFormat/>
    <w:rPr>
      <w:rFonts w:eastAsia="標楷體"/>
      <w:color w:val="000000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eastAsia="標楷體"/>
      <w:color w:val="000000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5">
    <w:name w:val="頁首 字元"/>
    <w:qFormat/>
    <w:rPr>
      <w:sz w:val="20"/>
      <w:szCs w:val="20"/>
    </w:rPr>
  </w:style>
  <w:style w:type="character" w:styleId="Style16">
    <w:name w:val="頁尾 字元"/>
    <w:qFormat/>
    <w:rPr>
      <w:sz w:val="20"/>
      <w:szCs w:val="20"/>
    </w:rPr>
  </w:style>
  <w:style w:type="character" w:styleId="ListLabel1">
    <w:name w:val="ListLabel 1"/>
    <w:qFormat/>
    <w:rPr>
      <w:rFonts w:ascii="標楷體" w:hAnsi="標楷體" w:cs="標楷體"/>
      <w:sz w:val="32"/>
      <w:szCs w:val="28"/>
      <w:lang w:val="en-US"/>
    </w:rPr>
  </w:style>
  <w:style w:type="character" w:styleId="ListLabel2">
    <w:name w:val="ListLabel 2"/>
    <w:qFormat/>
    <w:rPr>
      <w:rFonts w:eastAsia="標楷體"/>
      <w:color w:val="000000"/>
    </w:rPr>
  </w:style>
  <w:style w:type="character" w:styleId="ListLabel3">
    <w:name w:val="ListLabel 3"/>
    <w:qFormat/>
    <w:rPr>
      <w:rFonts w:eastAsia="標楷體"/>
      <w:color w:val="000000"/>
    </w:rPr>
  </w:style>
  <w:style w:type="character" w:styleId="ListLabel4">
    <w:name w:val="ListLabel 4"/>
    <w:qFormat/>
    <w:rPr>
      <w:b w:val="false"/>
      <w:i w:val="false"/>
      <w:color w:val="000000"/>
      <w:sz w:val="28"/>
    </w:rPr>
  </w:style>
  <w:style w:type="character" w:styleId="Style17">
    <w:name w:val="註解方塊文字 字元"/>
    <w:basedOn w:val="Style14"/>
    <w:qFormat/>
    <w:rPr>
      <w:rFonts w:ascii="Cambria" w:hAnsi="Cambria" w:eastAsia="新細明體" w:cs="Mangal"/>
      <w:sz w:val="18"/>
      <w:szCs w:val="16"/>
    </w:rPr>
  </w:style>
  <w:style w:type="character" w:styleId="WWCharLFO1LVL1">
    <w:name w:val="WW_CharLFO1LVL1"/>
    <w:qFormat/>
    <w:rPr>
      <w:b w:val="false"/>
      <w:i w:val="false"/>
      <w:color w:val="000000"/>
      <w:sz w:val="28"/>
    </w:rPr>
  </w:style>
  <w:style w:type="character" w:styleId="WWCharLFO2LVL1">
    <w:name w:val="WW_CharLFO2LVL1"/>
    <w:qFormat/>
    <w:rPr>
      <w:color w:val="000000"/>
    </w:rPr>
  </w:style>
  <w:style w:type="character" w:styleId="WWCharLFO6LVL1">
    <w:name w:val="WW_CharLFO6LVL1"/>
    <w:qFormat/>
    <w:rPr>
      <w:rFonts w:ascii="標楷體" w:hAnsi="標楷體" w:cs="標楷體"/>
      <w:sz w:val="32"/>
      <w:szCs w:val="28"/>
      <w:lang w:val="en-US"/>
    </w:rPr>
  </w:style>
  <w:style w:type="character" w:styleId="WWCharLFO6LVL3">
    <w:name w:val="WW_CharLFO6LVL3"/>
    <w:qFormat/>
    <w:rPr>
      <w:rFonts w:eastAsia="標楷體"/>
      <w:color w:val="000000"/>
    </w:rPr>
  </w:style>
  <w:style w:type="character" w:styleId="WWCharLFO7LVL1">
    <w:name w:val="WW_CharLFO7LVL1"/>
    <w:qFormat/>
    <w:rPr>
      <w:rFonts w:eastAsia="標楷體"/>
      <w:color w:val="000000"/>
    </w:rPr>
  </w:style>
  <w:style w:type="paragraph" w:styleId="Style18">
    <w:name w:val="內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新細明體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Heading">
    <w:name w:val="Heading"/>
    <w:basedOn w:val="Standard"/>
    <w:next w:val="Textbody1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9">
    <w:name w:val="清單"/>
    <w:basedOn w:val="Textbody1"/>
    <w:qFormat/>
    <w:pPr>
      <w:suppressAutoHyphens w:val="true"/>
    </w:pPr>
    <w:rPr>
      <w:rFonts w:cs="Lucida Sans"/>
    </w:rPr>
  </w:style>
  <w:style w:type="paragraph" w:styleId="Style20">
    <w:name w:val="標號"/>
    <w:basedOn w:val="Standard"/>
    <w:qFormat/>
    <w:pPr>
      <w:suppressLineNumbers/>
      <w:suppressAutoHyphens w:val="true"/>
      <w:spacing w:before="120" w:after="120"/>
    </w:pPr>
    <w:rPr>
      <w:rFonts w:cs="Lucida Sans"/>
      <w:i/>
      <w:iCs/>
      <w:szCs w:val="24"/>
    </w:rPr>
  </w:style>
  <w:style w:type="paragraph" w:styleId="Index">
    <w:name w:val="Index"/>
    <w:basedOn w:val="Standard"/>
    <w:qFormat/>
    <w:pPr>
      <w:suppressLineNumbers/>
      <w:suppressAutoHyphens w:val="true"/>
    </w:pPr>
    <w:rPr>
      <w:rFonts w:cs="Lucida Sans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;PMingLiU" w:cs="F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bidi="ar-SA" w:val="en-US" w:eastAsia="zh-TW"/>
    </w:rPr>
  </w:style>
  <w:style w:type="paragraph" w:styleId="Textbody1">
    <w:name w:val="Text body"/>
    <w:basedOn w:val="Standard"/>
    <w:qFormat/>
    <w:pPr>
      <w:suppressAutoHyphens w:val="true"/>
      <w:spacing w:lineRule="auto" w:line="276" w:before="0" w:after="140"/>
    </w:pPr>
    <w:rPr/>
  </w:style>
  <w:style w:type="paragraph" w:styleId="Style21">
    <w:name w:val="清單段落"/>
    <w:basedOn w:val="Standard"/>
    <w:qFormat/>
    <w:pPr>
      <w:suppressAutoHyphens w:val="true"/>
      <w:ind w:left="480" w:hanging="0"/>
    </w:pPr>
    <w:rPr>
      <w:rFonts w:cs="Calibri"/>
      <w:szCs w:val="24"/>
    </w:rPr>
  </w:style>
  <w:style w:type="paragraph" w:styleId="Style22">
    <w:name w:val="頁首"/>
    <w:basedOn w:val="Standard"/>
    <w:qFormat/>
    <w:pPr>
      <w:suppressAutoHyphens w:val="true"/>
      <w:snapToGrid w:val="false"/>
    </w:pPr>
    <w:rPr>
      <w:sz w:val="20"/>
      <w:szCs w:val="20"/>
    </w:rPr>
  </w:style>
  <w:style w:type="paragraph" w:styleId="Style23">
    <w:name w:val="頁尾"/>
    <w:basedOn w:val="Standard"/>
    <w:qFormat/>
    <w:pPr>
      <w:suppressAutoHyphens w:val="true"/>
      <w:snapToGrid w:val="false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Style24">
    <w:name w:val="註解方塊文字"/>
    <w:basedOn w:val="Style18"/>
    <w:qFormat/>
    <w:pPr>
      <w:suppressAutoHyphens w:val="true"/>
    </w:pPr>
    <w:rPr>
      <w:rFonts w:ascii="Cambria" w:hAnsi="Cambria" w:cs="Mangal"/>
      <w:sz w:val="18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LibreOffice/5.4.7.2$Linux_X86_64 LibreOffice_project/c838ef25c16710f8838b1faec480ebba495259d0</Application>
  <Pages>5</Pages>
  <Words>424</Words>
  <Characters>2417</Characters>
  <CharactersWithSpaces>2836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2021-06-10T06:07:00Z</dcterms:created>
  <dc:creator>胡振華</dc:creator>
  <dc:description/>
  <dc:language>en-US</dc:language>
  <cp:lastModifiedBy>USER</cp:lastModifiedBy>
  <cp:lastPrinted>2021-06-10T06:06:00Z</cp:lastPrinted>
  <dcterms:modified xsi:type="dcterms:W3CDTF">2021-06-10T06:07:00Z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