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rPr/>
      </w:pPr>
      <w:r>
        <w:rPr>
          <w:rStyle w:val="Style14"/>
          <w:rFonts w:ascii="標楷體" w:hAnsi="標楷體" w:cs="Tahoma" w:eastAsia="標楷體"/>
          <w:sz w:val="40"/>
          <w:szCs w:val="44"/>
        </w:rPr>
        <w:t>各類型船舶入出國際商港核准程序及管理作業要點第三點、第六點、第九點修正總說明</w:t>
      </w:r>
    </w:p>
    <w:p>
      <w:pPr>
        <w:pStyle w:val="Normal"/>
        <w:spacing w:lineRule="exact" w:line="480"/>
        <w:rPr>
          <w:rFonts w:ascii="標楷體" w:hAnsi="標楷體" w:eastAsia="標楷體" w:cs="Tahoma"/>
          <w:sz w:val="40"/>
          <w:szCs w:val="44"/>
        </w:rPr>
      </w:pPr>
      <w:r>
        <w:rPr>
          <w:rFonts w:eastAsia="標楷體" w:cs="Tahoma" w:ascii="標楷體" w:hAnsi="標楷體"/>
          <w:sz w:val="40"/>
          <w:szCs w:val="44"/>
        </w:rPr>
      </w:r>
    </w:p>
    <w:p>
      <w:pPr>
        <w:pStyle w:val="Normal"/>
        <w:spacing w:lineRule="exact" w:line="480"/>
        <w:ind w:firstLine="560"/>
        <w:jc w:val="both"/>
        <w:rPr/>
      </w:pPr>
      <w:r>
        <w:rPr>
          <w:rStyle w:val="Style14"/>
          <w:rFonts w:eastAsia="標楷體"/>
          <w:sz w:val="28"/>
          <w:szCs w:val="28"/>
        </w:rPr>
        <w:t>各類型船舶入出國際商港核准程序及管理作業要點</w:t>
      </w:r>
      <w:r>
        <w:rPr>
          <w:rStyle w:val="Style14"/>
          <w:rFonts w:eastAsia="標楷體"/>
          <w:sz w:val="28"/>
          <w:szCs w:val="28"/>
        </w:rPr>
        <w:t>(</w:t>
      </w:r>
      <w:r>
        <w:rPr>
          <w:rStyle w:val="Style14"/>
          <w:rFonts w:eastAsia="標楷體"/>
          <w:sz w:val="28"/>
          <w:szCs w:val="28"/>
        </w:rPr>
        <w:t>下稱本要點</w:t>
      </w:r>
      <w:r>
        <w:rPr>
          <w:rStyle w:val="Style14"/>
          <w:rFonts w:eastAsia="標楷體"/>
          <w:sz w:val="28"/>
          <w:szCs w:val="28"/>
        </w:rPr>
        <w:t>)</w:t>
      </w:r>
      <w:r>
        <w:rPr>
          <w:rStyle w:val="Style14"/>
          <w:rFonts w:eastAsia="標楷體"/>
          <w:sz w:val="28"/>
          <w:szCs w:val="28"/>
        </w:rPr>
        <w:t>係由航港局於一百零三年九月三十日函頒，迄今歷經一次修正，茲為避免重複規定，並配合國際公約、船舶法及其相關規定與實務運作，爰修正本要點，修正重點如下：</w:t>
      </w:r>
    </w:p>
    <w:p>
      <w:pPr>
        <w:pStyle w:val="Normal"/>
        <w:spacing w:lineRule="exact" w:line="480"/>
        <w:ind w:left="560" w:hanging="560"/>
        <w:jc w:val="both"/>
        <w:rPr/>
      </w:pPr>
      <w:r>
        <w:rPr>
          <w:rStyle w:val="Style14"/>
          <w:rFonts w:eastAsia="標楷體"/>
          <w:sz w:val="28"/>
          <w:szCs w:val="28"/>
        </w:rPr>
        <w:t>一、為避免重複規定適用對象及行為，刪除第三項。</w:t>
      </w:r>
      <w:r>
        <w:rPr>
          <w:rStyle w:val="Style14"/>
          <w:rFonts w:eastAsia="標楷體"/>
          <w:sz w:val="28"/>
          <w:szCs w:val="28"/>
        </w:rPr>
        <w:t>(</w:t>
      </w:r>
      <w:r>
        <w:rPr>
          <w:rStyle w:val="Style14"/>
          <w:rFonts w:eastAsia="標楷體"/>
          <w:sz w:val="28"/>
          <w:szCs w:val="28"/>
        </w:rPr>
        <w:t>修正規定第三點</w:t>
      </w:r>
      <w:r>
        <w:rPr>
          <w:rStyle w:val="Style14"/>
          <w:rFonts w:eastAsia="標楷體"/>
          <w:sz w:val="28"/>
          <w:szCs w:val="28"/>
        </w:rPr>
        <w:t>)</w:t>
      </w:r>
    </w:p>
    <w:p>
      <w:pPr>
        <w:pStyle w:val="Normal"/>
        <w:spacing w:lineRule="exact" w:line="480"/>
        <w:ind w:left="560" w:hanging="560"/>
        <w:jc w:val="both"/>
        <w:rPr/>
      </w:pPr>
      <w:r>
        <w:rPr>
          <w:rStyle w:val="Style14"/>
          <w:rFonts w:eastAsia="標楷體"/>
          <w:sz w:val="28"/>
          <w:szCs w:val="28"/>
        </w:rPr>
        <w:t>二、配合國際海上人命安全公約及船舶設備規則，修正適用船舶範圍及適用依據。</w:t>
      </w:r>
      <w:r>
        <w:rPr>
          <w:rStyle w:val="Style14"/>
          <w:rFonts w:eastAsia="標楷體"/>
          <w:sz w:val="28"/>
          <w:szCs w:val="28"/>
        </w:rPr>
        <w:t>(</w:t>
      </w:r>
      <w:r>
        <w:rPr>
          <w:rStyle w:val="Style14"/>
          <w:rFonts w:eastAsia="標楷體"/>
          <w:sz w:val="28"/>
          <w:szCs w:val="28"/>
        </w:rPr>
        <w:t>修正規定第六點</w:t>
      </w:r>
      <w:r>
        <w:rPr>
          <w:rStyle w:val="Style14"/>
          <w:rFonts w:eastAsia="標楷體"/>
          <w:sz w:val="28"/>
          <w:szCs w:val="28"/>
        </w:rPr>
        <w:t>)</w:t>
      </w:r>
    </w:p>
    <w:p>
      <w:pPr>
        <w:sectPr>
          <w:type w:val="nextPage"/>
          <w:pgSz w:w="11906" w:h="16838"/>
          <w:pgMar w:left="1797" w:right="1797" w:header="0" w:top="1440" w:footer="0" w:bottom="1559" w:gutter="0"/>
          <w:pgNumType w:fmt="decimal"/>
          <w:formProt w:val="false"/>
          <w:textDirection w:val="lrTb"/>
        </w:sectPr>
        <w:pStyle w:val="Normal"/>
        <w:spacing w:lineRule="exact" w:line="480"/>
        <w:ind w:left="560" w:hanging="560"/>
        <w:rPr/>
      </w:pPr>
      <w:r>
        <w:rPr>
          <w:rStyle w:val="Style14"/>
          <w:rFonts w:eastAsia="標楷體"/>
          <w:sz w:val="28"/>
          <w:szCs w:val="28"/>
        </w:rPr>
        <w:t>三、配合船舶法第二十八條之三第二項規定及實務作業，酌修文字，並訂明抽查作業係以維護安全性為目的，以臻明確。</w:t>
      </w:r>
      <w:r>
        <w:rPr>
          <w:rStyle w:val="Style14"/>
          <w:rFonts w:eastAsia="標楷體"/>
          <w:sz w:val="28"/>
          <w:szCs w:val="28"/>
        </w:rPr>
        <w:t>(</w:t>
      </w:r>
      <w:r>
        <w:rPr>
          <w:rStyle w:val="Style14"/>
          <w:rFonts w:eastAsia="標楷體"/>
          <w:sz w:val="28"/>
          <w:szCs w:val="28"/>
        </w:rPr>
        <w:t>修正規定第九點</w:t>
      </w:r>
      <w:r>
        <w:rPr>
          <w:rStyle w:val="Style14"/>
          <w:rFonts w:eastAsia="標楷體"/>
          <w:sz w:val="28"/>
          <w:szCs w:val="28"/>
        </w:rPr>
        <w:t>)</w:t>
      </w:r>
    </w:p>
    <w:p>
      <w:pPr>
        <w:pStyle w:val="Normal"/>
        <w:spacing w:lineRule="exact" w:line="480"/>
        <w:rPr/>
      </w:pPr>
      <w:r>
        <w:rPr>
          <w:rStyle w:val="Style14"/>
          <w:rFonts w:ascii="標楷體" w:hAnsi="標楷體" w:cs="Tahoma" w:eastAsia="標楷體"/>
          <w:sz w:val="40"/>
          <w:szCs w:val="44"/>
        </w:rPr>
        <w:t>各類型船舶入出國際商港核准程序及管理作業要點第三點、第六點、第九點修正規定對照表</w:t>
      </w:r>
    </w:p>
    <w:tbl>
      <w:tblPr>
        <w:tblW w:w="8364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88"/>
        <w:gridCol w:w="2788"/>
        <w:gridCol w:w="2788"/>
      </w:tblGrid>
      <w:tr>
        <w:trPr>
          <w:trHeight w:val="356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>
                <w:rStyle w:val="Style14"/>
                <w:rFonts w:eastAsia="標楷體"/>
              </w:rPr>
              <w:t>修正規定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>
                <w:rStyle w:val="Style14"/>
                <w:rFonts w:eastAsia="標楷體"/>
              </w:rPr>
              <w:t>現行規定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ind w:right="-1548" w:hanging="0"/>
              <w:rPr/>
            </w:pPr>
            <w:r>
              <w:rPr>
                <w:rStyle w:val="Style14"/>
                <w:rFonts w:eastAsia="標楷體"/>
              </w:rPr>
              <w:t xml:space="preserve">          </w:t>
            </w:r>
            <w:r>
              <w:rPr>
                <w:rStyle w:val="Style14"/>
                <w:rFonts w:eastAsia="標楷體"/>
              </w:rPr>
              <w:t>說明</w:t>
            </w:r>
          </w:p>
        </w:tc>
      </w:tr>
      <w:tr>
        <w:trPr>
          <w:trHeight w:val="6573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540" w:hanging="540"/>
              <w:jc w:val="both"/>
              <w:rPr/>
            </w:pPr>
            <w:r>
              <w:rPr>
                <w:rStyle w:val="Style14"/>
                <w:rFonts w:ascii="Times New Roman" w:hAnsi="Times New Roman" w:cs="Times New Roman"/>
              </w:rPr>
              <w:t>三、各類型船舶入出國際商港，應依商港法第十九條及商港港務管理規則之相關規定，辦理船舶入出港預報及入港報告。但下列船舶不在此限：</w:t>
            </w:r>
          </w:p>
          <w:p>
            <w:pPr>
              <w:pStyle w:val="Default"/>
              <w:spacing w:before="0" w:after="51"/>
              <w:ind w:left="955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一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軍事建制艦艇及各級政府之公務船。</w:t>
            </w:r>
          </w:p>
          <w:p>
            <w:pPr>
              <w:pStyle w:val="Default"/>
              <w:spacing w:before="0" w:after="51"/>
              <w:ind w:left="962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二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國際商港區域內經營港區業務且不涉及入出港之各類型港勤船，包括拖船、駁船、起重船、帶解纜船、引水船、加水船、加油船、清潔船、挖泥船及載送港區相關單位人員暨船用品之交通船。</w:t>
            </w:r>
          </w:p>
          <w:p>
            <w:pPr>
              <w:pStyle w:val="Default"/>
              <w:ind w:left="962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三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設置於國際商港區域內或區域外之漁港、船澳及公民營遊艇碼頭，其本國籍漁船及未涉入出境之遊艇入出港，與商輪共用航道者。</w:t>
            </w:r>
          </w:p>
          <w:p>
            <w:pPr>
              <w:pStyle w:val="TextBodyIndent"/>
              <w:tabs>
                <w:tab w:val="left" w:pos="585" w:leader="none"/>
                <w:tab w:val="left" w:pos="1501" w:leader="none"/>
                <w:tab w:val="left" w:pos="2417" w:leader="none"/>
                <w:tab w:val="left" w:pos="3333" w:leader="none"/>
                <w:tab w:val="left" w:pos="4249" w:leader="none"/>
                <w:tab w:val="left" w:pos="5165" w:leader="none"/>
                <w:tab w:val="left" w:pos="6081" w:leader="none"/>
                <w:tab w:val="left" w:pos="6997" w:leader="none"/>
                <w:tab w:val="left" w:pos="7913" w:leader="none"/>
                <w:tab w:val="left" w:pos="8829" w:leader="none"/>
                <w:tab w:val="left" w:pos="9745" w:leader="none"/>
                <w:tab w:val="left" w:pos="10661" w:leader="none"/>
                <w:tab w:val="left" w:pos="11577" w:leader="none"/>
                <w:tab w:val="left" w:pos="12493" w:leader="none"/>
                <w:tab w:val="left" w:pos="13409" w:leader="none"/>
                <w:tab w:val="left" w:pos="14325" w:leader="none"/>
              </w:tabs>
              <w:spacing w:lineRule="auto" w:line="240"/>
              <w:ind w:left="482" w:hanging="0"/>
              <w:jc w:val="both"/>
              <w:rPr/>
            </w:pPr>
            <w:r>
              <w:rPr>
                <w:rStyle w:val="Style14"/>
                <w:rFonts w:ascii="Times New Roman" w:hAnsi="Times New Roman"/>
              </w:rPr>
              <w:t>前項第一款船舶於入出港前，應以超高頻無線電</w:t>
            </w:r>
            <w:r>
              <w:rPr>
                <w:rStyle w:val="Style14"/>
                <w:rFonts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/>
              </w:rPr>
              <w:t>以下簡稱</w:t>
            </w:r>
            <w:r>
              <w:rPr>
                <w:rStyle w:val="Style14"/>
                <w:rFonts w:ascii="Times New Roman" w:hAnsi="Times New Roman"/>
              </w:rPr>
              <w:t>VHF)</w:t>
            </w:r>
            <w:r>
              <w:rPr>
                <w:rStyle w:val="Style14"/>
                <w:rFonts w:ascii="Times New Roman" w:hAnsi="Times New Roman"/>
              </w:rPr>
              <w:t>向該港之航管中心或信號臺報告，經其同意後，按排定之次序入出港。免在航港單一窗口服務平臺</w:t>
            </w:r>
            <w:r>
              <w:rPr>
                <w:rStyle w:val="Style14"/>
                <w:rFonts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/>
              </w:rPr>
              <w:t>以下簡稱</w:t>
            </w:r>
            <w:r>
              <w:rPr>
                <w:rStyle w:val="Style14"/>
                <w:rFonts w:ascii="Times New Roman" w:hAnsi="Times New Roman"/>
              </w:rPr>
              <w:t>MTNet)</w:t>
            </w:r>
            <w:r>
              <w:rPr>
                <w:rStyle w:val="Style14"/>
                <w:rFonts w:ascii="Times New Roman" w:hAnsi="Times New Roman"/>
              </w:rPr>
              <w:t>辦理入出港預報及入港報告。</w:t>
            </w:r>
          </w:p>
          <w:p>
            <w:pPr>
              <w:pStyle w:val="Normal"/>
              <w:ind w:left="482" w:hanging="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第一項第三款商輪、漁船共用之航道，由商港經營事業機構劃設，經本局邀集有關單位協商審定後辦理公告。入出該漁港、船澳之本國籍漁船及其他船舶，應遵照國際避碰規則及港區有關規定航行。如不按公告之共用航道航行，擅自進入其他商港區域內，商港經營事業機構得檢具事證，移送本局依商港法規定處分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540" w:hanging="540"/>
              <w:jc w:val="both"/>
              <w:rPr/>
            </w:pPr>
            <w:r>
              <w:rPr>
                <w:rStyle w:val="Style14"/>
                <w:rFonts w:ascii="Times New Roman" w:hAnsi="Times New Roman" w:cs="Times New Roman"/>
              </w:rPr>
              <w:t>三、各類型船舶入出國際商港，應依商港法第十九條及商港港務管理規則之相關規定，辦理船舶入出港預報及入港報告。但下列船舶不在此限：</w:t>
            </w:r>
          </w:p>
          <w:p>
            <w:pPr>
              <w:pStyle w:val="Default"/>
              <w:spacing w:before="0" w:after="51"/>
              <w:ind w:left="955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一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軍事建制艦艇及各級政府之公務船。</w:t>
            </w:r>
          </w:p>
          <w:p>
            <w:pPr>
              <w:pStyle w:val="Default"/>
              <w:spacing w:before="0" w:after="51"/>
              <w:ind w:left="962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二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國際商港區域內經營港區業務且不涉及入出港之各類型港勤船，包括拖船、駁船、起重船、帶解纜船、引水船、加水船、加油船、清潔船、挖泥船及載送港區相關單位人員暨船用品之交通船。</w:t>
            </w:r>
          </w:p>
          <w:p>
            <w:pPr>
              <w:pStyle w:val="Default"/>
              <w:ind w:left="962" w:hanging="482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 w:cs="Times New Roman"/>
              </w:rPr>
              <w:t>三</w:t>
            </w:r>
            <w:r>
              <w:rPr>
                <w:rStyle w:val="Style14"/>
                <w:rFonts w:cs="Times New Roman" w:ascii="Times New Roman" w:hAnsi="Times New Roman"/>
              </w:rPr>
              <w:t>)</w:t>
            </w:r>
            <w:r>
              <w:rPr>
                <w:rStyle w:val="Style14"/>
                <w:rFonts w:ascii="Times New Roman" w:hAnsi="Times New Roman" w:cs="Times New Roman"/>
              </w:rPr>
              <w:t>設置於國際商港區域內或區域外之漁港、船澳及公民營遊艇碼頭，其本國籍漁船及未涉入出境之遊艇入出港，與商輪共用航道者。</w:t>
            </w:r>
          </w:p>
          <w:p>
            <w:pPr>
              <w:pStyle w:val="TextBodyIndent"/>
              <w:tabs>
                <w:tab w:val="left" w:pos="585" w:leader="none"/>
                <w:tab w:val="left" w:pos="1501" w:leader="none"/>
                <w:tab w:val="left" w:pos="2417" w:leader="none"/>
                <w:tab w:val="left" w:pos="3333" w:leader="none"/>
                <w:tab w:val="left" w:pos="4249" w:leader="none"/>
                <w:tab w:val="left" w:pos="5165" w:leader="none"/>
                <w:tab w:val="left" w:pos="6081" w:leader="none"/>
                <w:tab w:val="left" w:pos="6997" w:leader="none"/>
                <w:tab w:val="left" w:pos="7913" w:leader="none"/>
                <w:tab w:val="left" w:pos="8829" w:leader="none"/>
                <w:tab w:val="left" w:pos="9745" w:leader="none"/>
                <w:tab w:val="left" w:pos="10661" w:leader="none"/>
                <w:tab w:val="left" w:pos="11577" w:leader="none"/>
                <w:tab w:val="left" w:pos="12493" w:leader="none"/>
                <w:tab w:val="left" w:pos="13409" w:leader="none"/>
                <w:tab w:val="left" w:pos="14325" w:leader="none"/>
              </w:tabs>
              <w:spacing w:lineRule="auto" w:line="240"/>
              <w:ind w:left="482" w:hanging="0"/>
              <w:jc w:val="both"/>
              <w:rPr/>
            </w:pPr>
            <w:r>
              <w:rPr>
                <w:rStyle w:val="Style14"/>
                <w:rFonts w:ascii="Times New Roman" w:hAnsi="Times New Roman"/>
              </w:rPr>
              <w:t>前項第一款船舶於入出港前，應以超高頻無線電</w:t>
            </w:r>
            <w:r>
              <w:rPr>
                <w:rStyle w:val="Style14"/>
                <w:rFonts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/>
              </w:rPr>
              <w:t>以下簡稱</w:t>
            </w:r>
            <w:r>
              <w:rPr>
                <w:rStyle w:val="Style14"/>
                <w:rFonts w:ascii="Times New Roman" w:hAnsi="Times New Roman"/>
              </w:rPr>
              <w:t>VHF)</w:t>
            </w:r>
            <w:r>
              <w:rPr>
                <w:rStyle w:val="Style14"/>
                <w:rFonts w:ascii="Times New Roman" w:hAnsi="Times New Roman"/>
              </w:rPr>
              <w:t>向該港之航管中心或信號臺報告，經其同意後，按排定之次序入出港。免在航港單一窗口服務平臺</w:t>
            </w:r>
            <w:r>
              <w:rPr>
                <w:rStyle w:val="Style14"/>
                <w:rFonts w:ascii="Times New Roman" w:hAnsi="Times New Roman"/>
              </w:rPr>
              <w:t>(</w:t>
            </w:r>
            <w:r>
              <w:rPr>
                <w:rStyle w:val="Style14"/>
                <w:rFonts w:ascii="Times New Roman" w:hAnsi="Times New Roman"/>
              </w:rPr>
              <w:t>以下簡稱</w:t>
            </w:r>
            <w:r>
              <w:rPr>
                <w:rStyle w:val="Style14"/>
                <w:rFonts w:ascii="Times New Roman" w:hAnsi="Times New Roman"/>
              </w:rPr>
              <w:t>MTNet)</w:t>
            </w:r>
            <w:r>
              <w:rPr>
                <w:rStyle w:val="Style14"/>
                <w:rFonts w:ascii="Times New Roman" w:hAnsi="Times New Roman"/>
              </w:rPr>
              <w:t>辦理入出港預報及入港報告。</w:t>
            </w:r>
          </w:p>
          <w:p>
            <w:pPr>
              <w:pStyle w:val="Normal"/>
              <w:ind w:left="482" w:hanging="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第一項第二款船舶得申請在一定期間內多次入出港，無須逐航次辦理預報及報告，但仍應於入出港前，以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VHF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向航管中心或信號臺報告，經其同意後，按排定之次序入出港。</w:t>
            </w:r>
          </w:p>
          <w:p>
            <w:pPr>
              <w:pStyle w:val="TextBodyIndent"/>
              <w:tabs>
                <w:tab w:val="left" w:pos="585" w:leader="none"/>
                <w:tab w:val="left" w:pos="1501" w:leader="none"/>
                <w:tab w:val="left" w:pos="2417" w:leader="none"/>
                <w:tab w:val="left" w:pos="3333" w:leader="none"/>
                <w:tab w:val="left" w:pos="4249" w:leader="none"/>
                <w:tab w:val="left" w:pos="5165" w:leader="none"/>
                <w:tab w:val="left" w:pos="6081" w:leader="none"/>
                <w:tab w:val="left" w:pos="6997" w:leader="none"/>
                <w:tab w:val="left" w:pos="7913" w:leader="none"/>
                <w:tab w:val="left" w:pos="8829" w:leader="none"/>
                <w:tab w:val="left" w:pos="9745" w:leader="none"/>
                <w:tab w:val="left" w:pos="10661" w:leader="none"/>
                <w:tab w:val="left" w:pos="11577" w:leader="none"/>
                <w:tab w:val="left" w:pos="12493" w:leader="none"/>
                <w:tab w:val="left" w:pos="13409" w:leader="none"/>
                <w:tab w:val="left" w:pos="14325" w:leader="none"/>
              </w:tabs>
              <w:spacing w:lineRule="auto" w:line="240"/>
              <w:ind w:left="482" w:hanging="0"/>
              <w:jc w:val="both"/>
              <w:rPr/>
            </w:pPr>
            <w:r>
              <w:rPr>
                <w:rStyle w:val="Style14"/>
                <w:rFonts w:ascii="Times New Roman" w:hAnsi="Times New Roman"/>
                <w:bCs w:val="false"/>
                <w:color w:val="000000"/>
                <w:kern w:val="0"/>
              </w:rPr>
              <w:t>第一項第三款商輪、漁船共用之航道，由商港經營事業機構劃設，經本局邀集有關單位協商審定後辦理公告。入出該漁港、船澳之本國籍漁船及其他船舶，應遵照國際避碰規則及港區有關規定航行。如不按公告之共用航道航行，擅自進入其他商港區域內，商港經營事業機構得檢具事證，移送本局依商港法規定處分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ind w:left="540" w:hanging="54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一、第一項及第二項未修正。</w:t>
            </w:r>
          </w:p>
          <w:p>
            <w:pPr>
              <w:pStyle w:val="Normal"/>
              <w:spacing w:lineRule="exact" w:line="300"/>
              <w:ind w:left="540" w:hanging="54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二、考量現行第三項規定對象及行為業於第四點第一項前段定明，為避免重複規定，爰刪除第三項，第四項遞移為第三項。</w:t>
            </w:r>
          </w:p>
        </w:tc>
      </w:tr>
      <w:tr>
        <w:trPr>
          <w:trHeight w:val="3675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40" w:hanging="54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六、為維船舶航行安全，入出國際商港之各類型船舶，依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國際</w:t>
            </w:r>
            <w:r>
              <w:rPr>
                <w:rStyle w:val="Style14"/>
                <w:rFonts w:eastAsia="標楷體"/>
                <w:bCs/>
                <w:u w:val="single"/>
              </w:rPr>
              <w:t>海上人命安全公約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及</w:t>
            </w:r>
            <w:r>
              <w:rPr>
                <w:rStyle w:val="Style14"/>
                <w:rFonts w:eastAsia="標楷體"/>
                <w:bCs/>
                <w:u w:val="single"/>
              </w:rPr>
              <w:t>船舶設備規則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之相關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規定設有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VHF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及符合國際規範船舶自動識別系統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(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以下簡稱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AIS)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者，應隨時守聽該港區船舶交通服務使用頻道及開啟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及維持正常運作。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40" w:hanging="54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六、為維船舶航行安全，入出國際商港之各類型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港勤船、工作船及從事港區內外觀光之娛樂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船舶，依規定設有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VHF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及符合國際規範船舶自動識別系統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(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以下簡稱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AIS)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者，應隨時守聽該港區船舶交通服務使用頻道及開啟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及維持正常運作。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Style w:val="Style14"/>
                <w:rFonts w:eastAsia="標楷體"/>
                <w:bCs/>
              </w:rPr>
              <w:t>考量國際海事組織國際海上人命安全公約</w:t>
            </w:r>
            <w:r>
              <w:rPr>
                <w:rStyle w:val="Style14"/>
                <w:rFonts w:eastAsia="標楷體"/>
                <w:bCs/>
              </w:rPr>
              <w:t>(SOLAS)</w:t>
            </w:r>
            <w:r>
              <w:rPr>
                <w:rStyle w:val="Style14"/>
                <w:rFonts w:eastAsia="標楷體"/>
                <w:bCs/>
              </w:rPr>
              <w:t>及船舶設備規則第二百四十二條之三規定各級船舶應於</w:t>
            </w:r>
            <w:r>
              <w:rPr>
                <w:rStyle w:val="Style14"/>
                <w:rFonts w:eastAsia="標楷體"/>
                <w:bCs/>
                <w:kern w:val="0"/>
              </w:rPr>
              <w:t>條文修正施行</w:t>
            </w:r>
            <w:r>
              <w:rPr>
                <w:rStyle w:val="Style14"/>
                <w:rFonts w:eastAsia="標楷體"/>
                <w:bCs/>
                <w:kern w:val="0"/>
              </w:rPr>
              <w:t>(</w:t>
            </w:r>
            <w:r>
              <w:rPr>
                <w:rStyle w:val="Style14"/>
                <w:rFonts w:eastAsia="標楷體"/>
                <w:bCs/>
                <w:kern w:val="0"/>
              </w:rPr>
              <w:t>一百零七年七月二十七日</w:t>
            </w:r>
            <w:r>
              <w:rPr>
                <w:rStyle w:val="Style14"/>
                <w:rFonts w:eastAsia="標楷體"/>
                <w:bCs/>
                <w:kern w:val="0"/>
              </w:rPr>
              <w:t>)</w:t>
            </w:r>
            <w:r>
              <w:rPr>
                <w:rStyle w:val="Style14"/>
                <w:rFonts w:eastAsia="標楷體"/>
                <w:bCs/>
              </w:rPr>
              <w:t>後，第一次定期檢查或特別檢查時裝設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船舶自動識別系統。為符實務需要，修正入出國際商港之各類型船舶，依國際公約及船舶法之相關規定設有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VHF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及符合國際規範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者，應隨時守聽該港區船舶交通服務使用頻道及開啟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AIS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及維持正常運作，以維船舶航行安全。</w:t>
            </w:r>
          </w:p>
        </w:tc>
      </w:tr>
      <w:tr>
        <w:trPr>
          <w:trHeight w:val="3675" w:hRule="atLeast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40" w:hanging="54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九、專供國際商港區域使用之各類型港勤船舶，除船舶檢查、丈量、船員資格、船員最低安全配額、乘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員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超載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、安全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抽查及入出港報告等航政、港政公權力事項由本局管理外，其餘在港區內航行、停泊及其他非屬航政、港政公權力事項，應接受商港經營事業機構之指揮。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540" w:hanging="54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九、專供國際商港區域使用之各類型港勤船舶，除船舶檢查、丈量、船員資格、船員最低安全配額、乘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>客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超載抽查及入出港報告等航政、港政公權力事項由本局管理外，其餘在港區內航行、停泊及其他非屬航政、港政公權力事項，應接受商港經營事業機構之指揮。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30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配合船舶法第二十八條之三第二項規定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: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「船舶除緊急救難外，不得載運超過航政機關核定之乘員人數」及實務作業，爰將「乘客」修正為「乘員」，另訂明抽查作業係以維護安全性為目的，以臻明確。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97" w:right="1797" w:header="0" w:top="1440" w:footer="0" w:bottom="15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標楷體">
    <w:charset w:val="00"/>
    <w:family w:val="script"/>
    <w:pitch w:val="fixed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F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basedOn w:val="Style14"/>
    <w:qFormat/>
    <w:rPr>
      <w:rFonts w:ascii="標楷體" w:hAnsi="標楷體" w:eastAsia="標楷體" w:cs="Times New Roman"/>
      <w:bCs/>
      <w:szCs w:val="24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註解參照"/>
    <w:basedOn w:val="Style14"/>
    <w:qFormat/>
    <w:rPr>
      <w:sz w:val="18"/>
      <w:szCs w:val="18"/>
    </w:rPr>
  </w:style>
  <w:style w:type="character" w:styleId="Style19">
    <w:name w:val="註解文字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Style20">
    <w:name w:val="註解主旨 字元"/>
    <w:basedOn w:val="Style19"/>
    <w:qFormat/>
    <w:rPr>
      <w:rFonts w:ascii="Times New Roman" w:hAnsi="Times New Roman" w:eastAsia="新細明體" w:cs="Times New Roman"/>
      <w:b/>
      <w:bCs/>
      <w:szCs w:val="24"/>
    </w:rPr>
  </w:style>
  <w:style w:type="character" w:styleId="Style21">
    <w:name w:val="註解方塊文字 字元"/>
    <w:basedOn w:val="Style14"/>
    <w:qFormat/>
    <w:rPr>
      <w:rFonts w:ascii="Cambria" w:hAnsi="Cambria" w:eastAsia="新細明體" w:cs="F"/>
      <w:sz w:val="18"/>
      <w:szCs w:val="18"/>
    </w:rPr>
  </w:style>
  <w:style w:type="character" w:styleId="ListLabel1">
    <w:name w:val="ListLabel 1"/>
    <w:qFormat/>
    <w:rPr>
      <w:b w:val="false"/>
    </w:rPr>
  </w:style>
  <w:style w:type="character" w:styleId="WWCharLFO3LVL1">
    <w:name w:val="WW_CharLFO3LVL1"/>
    <w:qFormat/>
    <w:rPr>
      <w:b w:val="false"/>
    </w:rPr>
  </w:style>
  <w:style w:type="paragraph" w:styleId="Style22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3">
    <w:name w:val="清單"/>
    <w:basedOn w:val="TextBody"/>
    <w:qFormat/>
    <w:pPr>
      <w:suppressAutoHyphens w:val="true"/>
    </w:pPr>
    <w:rPr>
      <w:rFonts w:cs="Lucida Sans"/>
    </w:rPr>
  </w:style>
  <w:style w:type="paragraph" w:styleId="Style24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TextBodyIndent">
    <w:name w:val="Body Text Indent"/>
    <w:basedOn w:val="Normal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exact" w:line="360"/>
      <w:ind w:left="151" w:firstLine="485"/>
    </w:pPr>
    <w:rPr>
      <w:rFonts w:ascii="標楷體" w:hAnsi="標楷體" w:eastAsia="標楷體"/>
      <w:bCs/>
    </w:rPr>
  </w:style>
  <w:style w:type="paragraph" w:styleId="Style25">
    <w:name w:val="頁首"/>
    <w:basedOn w:val="Normal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頁尾"/>
    <w:basedOn w:val="Normal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7">
    <w:name w:val="清單段落"/>
    <w:basedOn w:val="Normal"/>
    <w:qFormat/>
    <w:pPr>
      <w:suppressAutoHyphens w:val="true"/>
      <w:ind w:left="480" w:hanging="0"/>
    </w:pPr>
    <w:rPr/>
  </w:style>
  <w:style w:type="paragraph" w:styleId="Style28">
    <w:name w:val="註解文字"/>
    <w:basedOn w:val="Normal"/>
    <w:qFormat/>
    <w:pPr>
      <w:suppressAutoHyphens w:val="true"/>
    </w:pPr>
    <w:rPr/>
  </w:style>
  <w:style w:type="paragraph" w:styleId="Style29">
    <w:name w:val="註解主旨"/>
    <w:basedOn w:val="Style28"/>
    <w:next w:val="Style28"/>
    <w:qFormat/>
    <w:pPr>
      <w:suppressAutoHyphens w:val="true"/>
    </w:pPr>
    <w:rPr>
      <w:b/>
      <w:bCs/>
    </w:rPr>
  </w:style>
  <w:style w:type="paragraph" w:styleId="Style30">
    <w:name w:val="註解方塊文字"/>
    <w:basedOn w:val="Normal"/>
    <w:qFormat/>
    <w:pPr>
      <w:suppressAutoHyphens w:val="true"/>
    </w:pPr>
    <w:rPr>
      <w:rFonts w:ascii="Cambria" w:hAnsi="Cambria" w:cs="F"/>
      <w:sz w:val="18"/>
      <w:szCs w:val="18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LibreOffice/5.4.7.2$Linux_X86_64 LibreOffice_project/c838ef25c16710f8838b1faec480ebba495259d0</Application>
  <Pages>4</Pages>
  <Words>325</Words>
  <Characters>1856</Characters>
  <CharactersWithSpaces>2177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2021-06-10T06:07:00Z</dcterms:created>
  <dc:creator>張偉峻</dc:creator>
  <dc:description/>
  <dc:language>en-US</dc:language>
  <cp:lastModifiedBy>USER</cp:lastModifiedBy>
  <cp:lastPrinted>2021-06-04T05:33:00Z</cp:lastPrinted>
  <dcterms:modified xsi:type="dcterms:W3CDTF">2021-06-10T06:07:00Z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