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00"/>
        <w:jc w:val="both"/>
        <w:rPr>
          <w:rFonts w:ascii="標楷體" w:hAnsi="標楷體" w:eastAsia="標楷體" w:cs="SimSun"/>
          <w:kern w:val="0"/>
          <w:sz w:val="28"/>
          <w:szCs w:val="28"/>
        </w:rPr>
      </w:pPr>
      <w:r>
        <w:rPr>
          <w:rFonts w:ascii="標楷體" w:hAnsi="標楷體" w:cs="SimSun" w:eastAsia="標楷體"/>
          <w:kern w:val="0"/>
          <w:sz w:val="28"/>
          <w:szCs w:val="28"/>
        </w:rPr>
        <w:t>商港法第三十六條第一項第三款之妨害港區安全行為第六點</w:t>
      </w:r>
    </w:p>
    <w:p>
      <w:pPr>
        <w:pStyle w:val="Normal"/>
        <w:spacing w:lineRule="exact" w:line="500"/>
        <w:ind w:left="518" w:hanging="518"/>
        <w:jc w:val="both"/>
        <w:rPr>
          <w:rFonts w:ascii="標楷體" w:hAnsi="標楷體" w:eastAsia="標楷體" w:cs="SimSun"/>
          <w:kern w:val="0"/>
          <w:sz w:val="28"/>
          <w:szCs w:val="28"/>
        </w:rPr>
      </w:pPr>
      <w:r>
        <w:rPr>
          <w:rFonts w:ascii="標楷體" w:hAnsi="標楷體" w:cs="SimSun" w:eastAsia="標楷體"/>
          <w:kern w:val="0"/>
          <w:sz w:val="28"/>
          <w:szCs w:val="28"/>
        </w:rPr>
        <w:t>六、為強化國際商港關鍵基礎設施之安全防護，登船人員應依港埠登船作業管理規定</w:t>
      </w:r>
      <w:r>
        <w:rPr>
          <w:rFonts w:eastAsia="標楷體" w:cs="SimSun" w:ascii="標楷體" w:hAnsi="標楷體"/>
          <w:kern w:val="0"/>
          <w:sz w:val="28"/>
          <w:szCs w:val="28"/>
        </w:rPr>
        <w:t>(</w:t>
      </w:r>
      <w:r>
        <w:rPr>
          <w:rFonts w:ascii="標楷體" w:hAnsi="標楷體" w:cs="SimSun" w:eastAsia="標楷體"/>
          <w:kern w:val="0"/>
          <w:sz w:val="28"/>
          <w:szCs w:val="28"/>
        </w:rPr>
        <w:t>如附件</w:t>
      </w:r>
      <w:r>
        <w:rPr>
          <w:rFonts w:eastAsia="標楷體" w:cs="SimSun" w:ascii="標楷體" w:hAnsi="標楷體"/>
          <w:kern w:val="0"/>
          <w:sz w:val="28"/>
          <w:szCs w:val="28"/>
        </w:rPr>
        <w:t>)</w:t>
      </w:r>
      <w:r>
        <w:rPr>
          <w:rFonts w:ascii="標楷體" w:hAnsi="標楷體" w:cs="SimSun" w:eastAsia="標楷體"/>
          <w:kern w:val="0"/>
          <w:sz w:val="28"/>
          <w:szCs w:val="28"/>
        </w:rPr>
        <w:t>，經交通部航港局</w:t>
      </w:r>
      <w:r>
        <w:rPr>
          <w:rFonts w:eastAsia="標楷體" w:cs="SimSun" w:ascii="標楷體" w:hAnsi="標楷體"/>
          <w:kern w:val="0"/>
          <w:sz w:val="28"/>
          <w:szCs w:val="28"/>
        </w:rPr>
        <w:t>(</w:t>
      </w:r>
      <w:r>
        <w:rPr>
          <w:rFonts w:ascii="標楷體" w:hAnsi="標楷體" w:cs="SimSun" w:eastAsia="標楷體"/>
          <w:kern w:val="0"/>
          <w:sz w:val="28"/>
          <w:szCs w:val="28"/>
        </w:rPr>
        <w:t>以下簡稱航港局</w:t>
      </w:r>
      <w:r>
        <w:rPr>
          <w:rFonts w:eastAsia="標楷體" w:cs="SimSun" w:ascii="標楷體" w:hAnsi="標楷體"/>
          <w:kern w:val="0"/>
          <w:sz w:val="28"/>
          <w:szCs w:val="28"/>
        </w:rPr>
        <w:t>)</w:t>
      </w:r>
      <w:r>
        <w:rPr>
          <w:rFonts w:ascii="標楷體" w:hAnsi="標楷體" w:cs="SimSun" w:eastAsia="標楷體"/>
          <w:kern w:val="0"/>
          <w:sz w:val="28"/>
          <w:szCs w:val="28"/>
        </w:rPr>
        <w:t>許可，並完成登錄作業，有下列情形之一者，屬妨害港區安全行為︰</w:t>
      </w:r>
    </w:p>
    <w:p>
      <w:pPr>
        <w:pStyle w:val="Normal"/>
        <w:spacing w:lineRule="exact" w:line="500"/>
        <w:ind w:left="1134" w:hanging="616"/>
        <w:jc w:val="both"/>
        <w:rPr>
          <w:rFonts w:ascii="標楷體" w:hAnsi="標楷體" w:eastAsia="標楷體" w:cs="SimSun"/>
          <w:kern w:val="0"/>
          <w:sz w:val="28"/>
          <w:szCs w:val="28"/>
        </w:rPr>
      </w:pPr>
      <w:r>
        <w:rPr>
          <w:rFonts w:eastAsia="標楷體" w:cs="SimSun" w:ascii="標楷體" w:hAnsi="標楷體"/>
          <w:kern w:val="0"/>
          <w:sz w:val="28"/>
          <w:szCs w:val="28"/>
        </w:rPr>
        <w:t>(</w:t>
      </w:r>
      <w:r>
        <w:rPr>
          <w:rFonts w:ascii="標楷體" w:hAnsi="標楷體" w:cs="SimSun" w:eastAsia="標楷體"/>
          <w:kern w:val="0"/>
          <w:sz w:val="28"/>
          <w:szCs w:val="28"/>
        </w:rPr>
        <w:t>一</w:t>
      </w:r>
      <w:r>
        <w:rPr>
          <w:rFonts w:eastAsia="標楷體" w:cs="SimSun" w:ascii="標楷體" w:hAnsi="標楷體"/>
          <w:kern w:val="0"/>
          <w:sz w:val="28"/>
          <w:szCs w:val="28"/>
        </w:rPr>
        <w:t>)</w:t>
        <w:tab/>
      </w:r>
      <w:r>
        <w:rPr>
          <w:rFonts w:ascii="標楷體" w:hAnsi="標楷體" w:cs="SimSun" w:eastAsia="標楷體"/>
          <w:kern w:val="0"/>
          <w:sz w:val="28"/>
          <w:szCs w:val="28"/>
        </w:rPr>
        <w:t>未經航港局許可，任意登船。</w:t>
      </w:r>
    </w:p>
    <w:p>
      <w:pPr>
        <w:pStyle w:val="Normal"/>
        <w:spacing w:lineRule="exact" w:line="500"/>
        <w:ind w:left="1134" w:hanging="616"/>
        <w:jc w:val="both"/>
        <w:rPr>
          <w:rFonts w:ascii="標楷體" w:hAnsi="標楷體" w:eastAsia="標楷體" w:cs="SimSun"/>
          <w:kern w:val="0"/>
          <w:sz w:val="28"/>
          <w:szCs w:val="28"/>
        </w:rPr>
      </w:pPr>
      <w:r>
        <w:rPr>
          <w:rFonts w:eastAsia="標楷體" w:cs="SimSun" w:ascii="標楷體" w:hAnsi="標楷體"/>
          <w:kern w:val="0"/>
          <w:sz w:val="28"/>
          <w:szCs w:val="28"/>
        </w:rPr>
        <w:t>(</w:t>
      </w:r>
      <w:r>
        <w:rPr>
          <w:rFonts w:ascii="標楷體" w:hAnsi="標楷體" w:cs="SimSun" w:eastAsia="標楷體"/>
          <w:kern w:val="0"/>
          <w:sz w:val="28"/>
          <w:szCs w:val="28"/>
        </w:rPr>
        <w:t>二</w:t>
      </w:r>
      <w:r>
        <w:rPr>
          <w:rFonts w:eastAsia="標楷體" w:cs="SimSun" w:ascii="標楷體" w:hAnsi="標楷體"/>
          <w:kern w:val="0"/>
          <w:sz w:val="28"/>
          <w:szCs w:val="28"/>
        </w:rPr>
        <w:t>)</w:t>
        <w:tab/>
      </w:r>
      <w:r>
        <w:rPr>
          <w:rFonts w:ascii="標楷體" w:hAnsi="標楷體" w:cs="SimSun" w:eastAsia="標楷體"/>
          <w:kern w:val="0"/>
          <w:sz w:val="28"/>
          <w:szCs w:val="28"/>
        </w:rPr>
        <w:t>經許可之登船人員，於航港局限制其登船權限期間登船。</w:t>
      </w:r>
      <w:r>
        <w:br w:type="page"/>
      </w:r>
    </w:p>
    <w:p>
      <w:pPr>
        <w:pStyle w:val="Normal"/>
        <w:jc w:val="center"/>
        <w:rPr/>
      </w:pPr>
      <w:r>
        <w:rPr>
          <w:rStyle w:val="Style14"/>
          <w:rFonts w:ascii="Times New Roman" w:hAnsi="Times New Roman" w:cs="Times New Roman" w:eastAsia="標楷體"/>
          <w:b/>
          <w:bCs/>
          <w:sz w:val="40"/>
          <w:szCs w:val="40"/>
        </w:rPr>
        <w:t>港埠登船作業管理規定</w:t>
      </w:r>
      <w:r>
        <mc:AlternateContent>
          <mc:Choice Requires="wps">
            <w:drawing>
              <wp:anchor behindDoc="0" distT="0" distB="0" distL="0" distR="0" simplePos="0" locked="0" layoutInCell="1" allowOverlap="1" relativeHeight="2">
                <wp:simplePos x="0" y="0"/>
                <wp:positionH relativeFrom="column">
                  <wp:posOffset>-675005</wp:posOffset>
                </wp:positionH>
                <wp:positionV relativeFrom="paragraph">
                  <wp:posOffset>-719455</wp:posOffset>
                </wp:positionV>
                <wp:extent cx="368300" cy="276860"/>
                <wp:effectExtent l="0" t="0" r="0" b="0"/>
                <wp:wrapNone/>
                <wp:docPr id="1" name="形狀1"/>
                <a:graphic xmlns:a="http://schemas.openxmlformats.org/drawingml/2006/main">
                  <a:graphicData uri="http://schemas.microsoft.com/office/word/2010/wordprocessingShape">
                    <wps:wsp>
                      <wps:cNvSpPr txBox="1"/>
                      <wps:spPr>
                        <a:xfrm>
                          <a:off x="0" y="0"/>
                          <a:ext cx="368300" cy="276860"/>
                        </a:xfrm>
                        <a:prstGeom prst="rect"/>
                        <a:ln w="9525">
                          <a:solidFill>
                            <a:srgbClr val="000000"/>
                          </a:solidFill>
                        </a:ln>
                      </wps:spPr>
                      <wps:txbx>
                        <w:txbxContent>
                          <w:p>
                            <w:pPr>
                              <w:pStyle w:val="Style18"/>
                              <w:jc w:val="center"/>
                              <w:rPr/>
                            </w:pPr>
                            <w:r>
                              <w:rPr>
                                <w:rStyle w:val="Style14"/>
                                <w:rFonts w:eastAsia="標楷體"/>
                                <w:b/>
                                <w:bCs/>
                                <w:sz w:val="28"/>
                                <w:szCs w:val="28"/>
                              </w:rPr>
                              <w:t>附件</w:t>
                            </w:r>
                          </w:p>
                        </w:txbxContent>
                      </wps:txbx>
                      <wps:bodyPr anchor="t" lIns="0" tIns="0" rIns="0" bIns="0">
                        <a:noAutofit/>
                      </wps:bodyPr>
                    </wps:wsp>
                  </a:graphicData>
                </a:graphic>
              </wp:anchor>
            </w:drawing>
          </mc:Choice>
          <mc:Fallback>
            <w:pict>
              <v:rect strokecolor="#000000" strokeweight="0pt" style="position:absolute;rotation:0;width:29pt;height:21.8pt;mso-wrap-distance-left:0pt;mso-wrap-distance-right:0pt;mso-wrap-distance-top:0pt;mso-wrap-distance-bottom:0pt;margin-top:-56.65pt;mso-position-vertical-relative:text;margin-left:-53.15pt;mso-position-horizontal-relative:text">
                <v:textbox inset="0in,0in,0in,0in">
                  <w:txbxContent>
                    <w:p>
                      <w:pPr>
                        <w:pStyle w:val="Style18"/>
                        <w:jc w:val="center"/>
                        <w:rPr/>
                      </w:pPr>
                      <w:r>
                        <w:rPr>
                          <w:rStyle w:val="Style14"/>
                          <w:rFonts w:eastAsia="標楷體"/>
                          <w:b/>
                          <w:bCs/>
                          <w:sz w:val="28"/>
                          <w:szCs w:val="28"/>
                        </w:rPr>
                        <w:t>附件</w:t>
                      </w:r>
                    </w:p>
                  </w:txbxContent>
                </v:textbox>
              </v:rect>
            </w:pict>
          </mc:Fallback>
        </mc:AlternateContent>
      </w:r>
    </w:p>
    <w:p>
      <w:pPr>
        <w:pStyle w:val="Normal"/>
        <w:spacing w:lineRule="exact" w:line="380"/>
        <w:ind w:right="960" w:hanging="0"/>
        <w:jc w:val="right"/>
        <w:rPr>
          <w:rFonts w:ascii="Times New Roman" w:hAnsi="Times New Roman" w:eastAsia="標楷體" w:cs="Times New Roman"/>
          <w:bCs/>
          <w:szCs w:val="24"/>
        </w:rPr>
      </w:pPr>
      <w:r>
        <w:rPr>
          <w:rFonts w:eastAsia="標楷體" w:cs="Times New Roman" w:ascii="Times New Roman" w:hAnsi="Times New Roman"/>
          <w:bCs/>
          <w:szCs w:val="24"/>
        </w:rPr>
      </w:r>
    </w:p>
    <w:p>
      <w:pPr>
        <w:pStyle w:val="1"/>
        <w:numPr>
          <w:ilvl w:val="0"/>
          <w:numId w:val="4"/>
        </w:numPr>
        <w:tabs>
          <w:tab w:val="left" w:pos="0" w:leader="none"/>
        </w:tabs>
        <w:spacing w:lineRule="auto" w:line="360"/>
        <w:ind w:left="567" w:hanging="0"/>
        <w:jc w:val="both"/>
        <w:textAlignment w:val="center"/>
        <w:rPr/>
      </w:pPr>
      <w:r>
        <w:rPr>
          <w:rStyle w:val="Style14"/>
          <w:rFonts w:ascii="標楷體" w:hAnsi="標楷體" w:cs="Times New Roman" w:eastAsia="標楷體"/>
          <w:bCs/>
          <w:sz w:val="28"/>
          <w:szCs w:val="28"/>
        </w:rPr>
        <w:t>登船業別或對象</w:t>
      </w:r>
      <w:r>
        <w:rPr>
          <w:rStyle w:val="Style14"/>
          <w:rFonts w:ascii="標楷體" w:hAnsi="標楷體" w:cs="Times New Roman" w:eastAsia="標楷體"/>
          <w:sz w:val="28"/>
          <w:szCs w:val="28"/>
        </w:rPr>
        <w:t>：</w:t>
      </w:r>
    </w:p>
    <w:p>
      <w:pPr>
        <w:pStyle w:val="1"/>
        <w:numPr>
          <w:ilvl w:val="1"/>
          <w:numId w:val="4"/>
        </w:numPr>
        <w:tabs>
          <w:tab w:val="left" w:pos="0" w:leader="none"/>
        </w:tabs>
        <w:spacing w:lineRule="auto" w:line="360"/>
        <w:ind w:left="993" w:hanging="0"/>
        <w:jc w:val="both"/>
        <w:textAlignment w:val="center"/>
        <w:rPr/>
      </w:pPr>
      <w:r>
        <w:rPr>
          <w:rStyle w:val="Style14"/>
          <w:rFonts w:ascii="標楷體" w:hAnsi="標楷體" w:cs="Times New Roman" w:eastAsia="標楷體"/>
          <w:sz w:val="28"/>
          <w:szCs w:val="28"/>
        </w:rPr>
        <w:t>船舶貨物裝卸承攬業、船務代理業、船舶理貨業、船舶公證業、船舶修理業、貨櫃、散雜貨解</w:t>
      </w:r>
      <w:r>
        <w:rPr>
          <w:rStyle w:val="Style14"/>
          <w:rFonts w:eastAsia="標楷體" w:cs="Times New Roman" w:ascii="標楷體" w:hAnsi="標楷體"/>
          <w:sz w:val="28"/>
          <w:szCs w:val="28"/>
        </w:rPr>
        <w:t>(</w:t>
      </w:r>
      <w:r>
        <w:rPr>
          <w:rStyle w:val="Style14"/>
          <w:rFonts w:ascii="標楷體" w:hAnsi="標楷體" w:cs="Times New Roman" w:eastAsia="標楷體"/>
          <w:sz w:val="28"/>
          <w:szCs w:val="28"/>
        </w:rPr>
        <w:t>繫</w:t>
      </w:r>
      <w:r>
        <w:rPr>
          <w:rStyle w:val="Style14"/>
          <w:rFonts w:eastAsia="標楷體" w:cs="Times New Roman" w:ascii="標楷體" w:hAnsi="標楷體"/>
          <w:sz w:val="28"/>
          <w:szCs w:val="28"/>
        </w:rPr>
        <w:t>)</w:t>
      </w:r>
      <w:r>
        <w:rPr>
          <w:rStyle w:val="Style14"/>
          <w:rFonts w:ascii="標楷體" w:hAnsi="標楷體" w:cs="Times New Roman" w:eastAsia="標楷體"/>
          <w:sz w:val="28"/>
          <w:szCs w:val="28"/>
        </w:rPr>
        <w:t>固業、引水人</w:t>
      </w:r>
      <w:r>
        <w:rPr>
          <w:rStyle w:val="Style14"/>
          <w:rFonts w:ascii="標楷體" w:hAnsi="標楷體" w:cs="標楷體" w:eastAsia="標楷體"/>
          <w:sz w:val="28"/>
          <w:szCs w:val="28"/>
        </w:rPr>
        <w:t>、</w:t>
      </w:r>
      <w:r>
        <w:rPr>
          <w:rStyle w:val="Style14"/>
          <w:rFonts w:ascii="標楷體" w:hAnsi="標楷體" w:cs="Times New Roman" w:eastAsia="標楷體"/>
          <w:sz w:val="28"/>
          <w:szCs w:val="28"/>
        </w:rPr>
        <w:t>驗船機構</w:t>
      </w:r>
      <w:r>
        <w:rPr>
          <w:rStyle w:val="Style14"/>
          <w:rFonts w:ascii="標楷體" w:hAnsi="標楷體" w:cs="標楷體" w:eastAsia="標楷體"/>
          <w:sz w:val="28"/>
          <w:szCs w:val="28"/>
        </w:rPr>
        <w:t>、</w:t>
      </w:r>
      <w:r>
        <w:rPr>
          <w:rStyle w:val="Style14"/>
          <w:rFonts w:ascii="標楷體" w:hAnsi="標楷體" w:cs="Times New Roman" w:eastAsia="標楷體"/>
          <w:sz w:val="28"/>
          <w:szCs w:val="28"/>
        </w:rPr>
        <w:t>船舶運送業</w:t>
      </w:r>
      <w:r>
        <w:rPr>
          <w:rStyle w:val="Style14"/>
          <w:rFonts w:ascii="標楷體" w:hAnsi="標楷體" w:cs="標楷體" w:eastAsia="標楷體"/>
          <w:sz w:val="28"/>
          <w:szCs w:val="28"/>
        </w:rPr>
        <w:t>、船舶</w:t>
      </w:r>
      <w:r>
        <w:rPr>
          <w:rStyle w:val="Style14"/>
          <w:rFonts w:ascii="標楷體" w:hAnsi="標楷體" w:cs="Times New Roman" w:eastAsia="標楷體"/>
          <w:sz w:val="28"/>
          <w:szCs w:val="28"/>
        </w:rPr>
        <w:t>勞務承攬業</w:t>
      </w:r>
      <w:r>
        <w:rPr>
          <w:rStyle w:val="Style14"/>
          <w:rFonts w:ascii="標楷體" w:hAnsi="標楷體" w:cs="標楷體" w:eastAsia="標楷體"/>
          <w:sz w:val="28"/>
          <w:szCs w:val="28"/>
        </w:rPr>
        <w:t>、</w:t>
      </w:r>
      <w:r>
        <w:rPr>
          <w:rStyle w:val="Style14"/>
          <w:rFonts w:ascii="標楷體" w:hAnsi="標楷體" w:cs="Times New Roman" w:eastAsia="標楷體"/>
          <w:sz w:val="28"/>
          <w:szCs w:val="28"/>
        </w:rPr>
        <w:t>船舶所有人所屬人員</w:t>
      </w:r>
      <w:r>
        <w:rPr>
          <w:rStyle w:val="Style14"/>
          <w:rFonts w:ascii="標楷體" w:hAnsi="標楷體" w:cs="標楷體" w:eastAsia="標楷體"/>
          <w:sz w:val="28"/>
          <w:szCs w:val="28"/>
        </w:rPr>
        <w:t>、</w:t>
      </w:r>
      <w:r>
        <w:rPr>
          <w:rStyle w:val="Style14"/>
          <w:rFonts w:ascii="標楷體" w:hAnsi="標楷體" w:cs="Times New Roman" w:eastAsia="標楷體"/>
          <w:sz w:val="28"/>
          <w:szCs w:val="28"/>
        </w:rPr>
        <w:t>船舶日用品供應業</w:t>
      </w:r>
      <w:r>
        <w:rPr>
          <w:rStyle w:val="Style14"/>
          <w:rFonts w:ascii="標楷體" w:hAnsi="標楷體" w:cs="標楷體" w:eastAsia="標楷體"/>
          <w:sz w:val="28"/>
          <w:szCs w:val="28"/>
        </w:rPr>
        <w:t>、</w:t>
      </w:r>
      <w:r>
        <w:rPr>
          <w:rStyle w:val="Style14"/>
          <w:rFonts w:ascii="標楷體" w:hAnsi="標楷體" w:cs="Times New Roman" w:eastAsia="標楷體"/>
          <w:sz w:val="28"/>
          <w:szCs w:val="28"/>
        </w:rPr>
        <w:t>清潔服務業</w:t>
      </w:r>
      <w:r>
        <w:rPr>
          <w:rStyle w:val="Style14"/>
          <w:rFonts w:ascii="標楷體" w:hAnsi="標楷體" w:cs="標楷體" w:eastAsia="標楷體"/>
          <w:sz w:val="28"/>
          <w:szCs w:val="28"/>
        </w:rPr>
        <w:t>、離岸風電專案公司及其承包商、郵輪相關業者及其承包商、報關（驗）行、學術或實習單位。</w:t>
      </w:r>
    </w:p>
    <w:p>
      <w:pPr>
        <w:pStyle w:val="1"/>
        <w:numPr>
          <w:ilvl w:val="1"/>
          <w:numId w:val="4"/>
        </w:numPr>
        <w:tabs>
          <w:tab w:val="left" w:pos="0" w:leader="none"/>
        </w:tabs>
        <w:spacing w:lineRule="auto" w:line="360"/>
        <w:ind w:left="993" w:hanging="0"/>
        <w:jc w:val="both"/>
        <w:textAlignment w:val="center"/>
        <w:rPr/>
      </w:pPr>
      <w:r>
        <w:rPr>
          <w:rStyle w:val="Style14"/>
          <w:rFonts w:ascii="標楷體" w:hAnsi="標楷體" w:cs="Times New Roman" w:eastAsia="標楷體"/>
          <w:sz w:val="28"/>
          <w:szCs w:val="28"/>
        </w:rPr>
        <w:t>公務機關</w:t>
      </w:r>
      <w:r>
        <w:rPr>
          <w:rStyle w:val="Style14"/>
          <w:rFonts w:ascii="標楷體" w:hAnsi="標楷體" w:cs="標楷體" w:eastAsia="標楷體"/>
          <w:sz w:val="28"/>
          <w:szCs w:val="28"/>
        </w:rPr>
        <w:t>、</w:t>
      </w:r>
      <w:r>
        <w:rPr>
          <w:rStyle w:val="Style14"/>
          <w:rFonts w:ascii="標楷體" w:hAnsi="標楷體" w:cs="Times New Roman" w:eastAsia="標楷體"/>
          <w:sz w:val="28"/>
          <w:szCs w:val="28"/>
        </w:rPr>
        <w:t>受公務機關委託執行公務者</w:t>
      </w:r>
      <w:r>
        <w:rPr>
          <w:rStyle w:val="Style14"/>
          <w:rFonts w:eastAsia="標楷體" w:cs="Times New Roman" w:ascii="標楷體" w:hAnsi="標楷體"/>
          <w:sz w:val="28"/>
          <w:szCs w:val="28"/>
        </w:rPr>
        <w:t>(</w:t>
      </w:r>
      <w:r>
        <w:rPr>
          <w:rStyle w:val="Style14"/>
          <w:rFonts w:ascii="標楷體" w:hAnsi="標楷體" w:cs="Times New Roman" w:eastAsia="標楷體"/>
          <w:sz w:val="28"/>
          <w:szCs w:val="28"/>
        </w:rPr>
        <w:t>以下簡稱為機關</w:t>
      </w:r>
      <w:r>
        <w:rPr>
          <w:rStyle w:val="Style14"/>
          <w:rFonts w:eastAsia="標楷體" w:cs="Times New Roman" w:ascii="標楷體" w:hAnsi="標楷體"/>
          <w:sz w:val="28"/>
          <w:szCs w:val="28"/>
        </w:rPr>
        <w:t>)</w:t>
      </w:r>
      <w:r>
        <w:rPr>
          <w:rStyle w:val="Style14"/>
          <w:rFonts w:ascii="標楷體" w:hAnsi="標楷體" w:cs="標楷體" w:eastAsia="標楷體"/>
          <w:sz w:val="28"/>
          <w:szCs w:val="28"/>
        </w:rPr>
        <w:t>或配合機關執行公務者</w:t>
      </w:r>
      <w:r>
        <w:rPr>
          <w:rStyle w:val="Style14"/>
          <w:rFonts w:ascii="標楷體" w:hAnsi="標楷體" w:cs="Times New Roman" w:eastAsia="標楷體"/>
          <w:sz w:val="28"/>
          <w:szCs w:val="28"/>
        </w:rPr>
        <w:t>。</w:t>
      </w:r>
    </w:p>
    <w:p>
      <w:pPr>
        <w:pStyle w:val="1"/>
        <w:numPr>
          <w:ilvl w:val="1"/>
          <w:numId w:val="4"/>
        </w:numPr>
        <w:tabs>
          <w:tab w:val="left" w:pos="0" w:leader="none"/>
        </w:tabs>
        <w:spacing w:lineRule="auto" w:line="360"/>
        <w:ind w:left="993" w:hanging="0"/>
        <w:jc w:val="both"/>
        <w:textAlignment w:val="center"/>
        <w:rPr/>
      </w:pPr>
      <w:r>
        <w:rPr>
          <w:rStyle w:val="Style14"/>
          <w:rFonts w:ascii="標楷體" w:hAnsi="標楷體" w:cs="Times New Roman" w:eastAsia="標楷體"/>
          <w:sz w:val="28"/>
          <w:szCs w:val="28"/>
        </w:rPr>
        <w:t>泊港船舶在職船員之眷屬；搭載貨船者，其登船相關申請規定依貨船搭客管理規則辦理。</w:t>
      </w:r>
    </w:p>
    <w:p>
      <w:pPr>
        <w:pStyle w:val="1"/>
        <w:numPr>
          <w:ilvl w:val="1"/>
          <w:numId w:val="4"/>
        </w:numPr>
        <w:tabs>
          <w:tab w:val="left" w:pos="0" w:leader="none"/>
        </w:tabs>
        <w:spacing w:lineRule="auto" w:line="360"/>
        <w:ind w:left="993" w:hanging="0"/>
        <w:jc w:val="both"/>
        <w:textAlignment w:val="center"/>
        <w:rPr/>
      </w:pPr>
      <w:r>
        <w:rPr>
          <w:rStyle w:val="Style14"/>
          <w:rFonts w:ascii="標楷體" w:hAnsi="標楷體" w:cs="Times New Roman" w:eastAsia="標楷體"/>
          <w:sz w:val="28"/>
          <w:szCs w:val="28"/>
        </w:rPr>
        <w:t>其他業別或人員經交通部航港局</w:t>
      </w:r>
      <w:r>
        <w:rPr>
          <w:rStyle w:val="Style14"/>
          <w:rFonts w:eastAsia="標楷體" w:cs="Times New Roman" w:ascii="標楷體" w:hAnsi="標楷體"/>
          <w:sz w:val="28"/>
          <w:szCs w:val="28"/>
        </w:rPr>
        <w:t>(</w:t>
      </w:r>
      <w:r>
        <w:rPr>
          <w:rStyle w:val="Style14"/>
          <w:rFonts w:ascii="標楷體" w:hAnsi="標楷體" w:cs="Times New Roman" w:eastAsia="標楷體"/>
          <w:sz w:val="28"/>
          <w:szCs w:val="28"/>
        </w:rPr>
        <w:t>下稱本局</w:t>
      </w:r>
      <w:r>
        <w:rPr>
          <w:rStyle w:val="Style14"/>
          <w:rFonts w:eastAsia="標楷體" w:cs="Times New Roman" w:ascii="標楷體" w:hAnsi="標楷體"/>
          <w:sz w:val="28"/>
          <w:szCs w:val="28"/>
        </w:rPr>
        <w:t>)</w:t>
      </w:r>
      <w:r>
        <w:rPr>
          <w:rStyle w:val="Style14"/>
          <w:rFonts w:ascii="標楷體" w:hAnsi="標楷體" w:cs="Times New Roman" w:eastAsia="標楷體"/>
          <w:sz w:val="28"/>
          <w:szCs w:val="28"/>
        </w:rPr>
        <w:t>同意者。</w:t>
      </w:r>
    </w:p>
    <w:p>
      <w:pPr>
        <w:pStyle w:val="1"/>
        <w:spacing w:lineRule="auto" w:line="360"/>
        <w:ind w:left="567" w:hanging="0"/>
        <w:jc w:val="both"/>
        <w:textAlignment w:val="center"/>
        <w:rPr/>
      </w:pPr>
      <w:r>
        <w:rPr>
          <w:rStyle w:val="Style14"/>
          <w:rFonts w:eastAsia="標楷體" w:cs="Times New Roman" w:ascii="標楷體" w:hAnsi="標楷體"/>
          <w:sz w:val="28"/>
          <w:szCs w:val="28"/>
        </w:rPr>
        <w:t xml:space="preserve">    </w:t>
      </w:r>
      <w:r>
        <w:rPr>
          <w:rStyle w:val="Style14"/>
          <w:rFonts w:ascii="標楷體" w:hAnsi="標楷體" w:cs="Times New Roman" w:eastAsia="標楷體"/>
          <w:sz w:val="28"/>
          <w:szCs w:val="28"/>
        </w:rPr>
        <w:t>本規定所稱船舶所有人，包括船舶所有權人、船舶承租人、經理人及營運人。</w:t>
      </w:r>
    </w:p>
    <w:p>
      <w:pPr>
        <w:pStyle w:val="1"/>
        <w:numPr>
          <w:ilvl w:val="0"/>
          <w:numId w:val="4"/>
        </w:numPr>
        <w:tabs>
          <w:tab w:val="left" w:pos="0" w:leader="none"/>
        </w:tabs>
        <w:spacing w:lineRule="auto" w:line="360"/>
        <w:ind w:left="567" w:hanging="0"/>
        <w:jc w:val="both"/>
        <w:textAlignment w:val="center"/>
        <w:rPr/>
      </w:pPr>
      <w:r>
        <w:rPr>
          <w:rStyle w:val="Style14"/>
          <w:rFonts w:ascii="標楷體" w:hAnsi="標楷體" w:cs="Times New Roman" w:eastAsia="標楷體"/>
          <w:bCs/>
          <w:sz w:val="28"/>
          <w:szCs w:val="28"/>
        </w:rPr>
        <w:t>適用範圍</w:t>
      </w:r>
      <w:r>
        <w:rPr>
          <w:rStyle w:val="Style14"/>
          <w:rFonts w:ascii="標楷體" w:hAnsi="標楷體" w:cs="Times New Roman" w:eastAsia="標楷體"/>
          <w:sz w:val="28"/>
          <w:szCs w:val="28"/>
        </w:rPr>
        <w:t>：國際航線船舶、兩岸直航及小三通航線船舶靠泊我國國際商港作業之船舶之登船作業人員、國際商港專用碼頭業者。</w:t>
      </w:r>
    </w:p>
    <w:p>
      <w:pPr>
        <w:pStyle w:val="1"/>
        <w:numPr>
          <w:ilvl w:val="0"/>
          <w:numId w:val="4"/>
        </w:numPr>
        <w:tabs>
          <w:tab w:val="left" w:pos="0" w:leader="none"/>
        </w:tabs>
        <w:spacing w:lineRule="auto" w:line="360"/>
        <w:ind w:left="567" w:hanging="0"/>
        <w:jc w:val="both"/>
        <w:textAlignment w:val="center"/>
        <w:rPr/>
      </w:pPr>
      <w:r>
        <w:rPr>
          <w:rStyle w:val="Style14"/>
          <w:rFonts w:ascii="標楷體" w:hAnsi="標楷體" w:cs="Times New Roman" w:eastAsia="標楷體"/>
          <w:bCs/>
          <w:sz w:val="28"/>
          <w:szCs w:val="28"/>
        </w:rPr>
        <w:t>人員管控：</w:t>
      </w:r>
    </w:p>
    <w:p>
      <w:pPr>
        <w:pStyle w:val="1"/>
        <w:numPr>
          <w:ilvl w:val="0"/>
          <w:numId w:val="5"/>
        </w:numPr>
        <w:tabs>
          <w:tab w:val="left" w:pos="0" w:leader="none"/>
        </w:tabs>
        <w:spacing w:lineRule="auto" w:line="360"/>
        <w:ind w:left="1133" w:hanging="0"/>
        <w:jc w:val="both"/>
        <w:textAlignment w:val="center"/>
        <w:rPr/>
      </w:pPr>
      <w:r>
        <w:rPr>
          <w:rStyle w:val="Style14"/>
          <w:rFonts w:ascii="標楷體" w:hAnsi="標楷體" w:cs="Times New Roman" w:eastAsia="標楷體"/>
          <w:sz w:val="28"/>
          <w:szCs w:val="28"/>
          <w:highlight w:val="white"/>
        </w:rPr>
        <w:t>船舶所有人或其代理人應以電子傳輸或親送方式將本局</w:t>
      </w:r>
      <w:r>
        <w:rPr>
          <w:rStyle w:val="Style14"/>
          <w:rFonts w:eastAsia="Times New Roman" w:cs="Times New Roman" w:ascii="Times New Roman" w:hAnsi="Times New Roman"/>
          <w:sz w:val="28"/>
          <w:szCs w:val="28"/>
          <w:highlight w:val="white"/>
        </w:rPr>
        <w:t>MTNet</w:t>
      </w:r>
      <w:r>
        <w:rPr>
          <w:rStyle w:val="Style14"/>
          <w:rFonts w:ascii="標楷體" w:hAnsi="標楷體" w:cs="Times New Roman" w:eastAsia="標楷體"/>
          <w:sz w:val="28"/>
          <w:szCs w:val="28"/>
          <w:highlight w:val="white"/>
        </w:rPr>
        <w:t>航港單一窗口服務平台</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以下簡稱</w:t>
      </w:r>
      <w:r>
        <w:rPr>
          <w:rStyle w:val="Style14"/>
          <w:rFonts w:eastAsia="Times New Roman" w:cs="Times New Roman" w:ascii="Times New Roman" w:hAnsi="Times New Roman"/>
          <w:sz w:val="28"/>
          <w:szCs w:val="28"/>
          <w:highlight w:val="white"/>
        </w:rPr>
        <w:t>MTNet</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產製之船舶</w:t>
      </w:r>
      <w:r>
        <w:rPr>
          <w:rStyle w:val="Style14"/>
          <w:rFonts w:eastAsia="Times New Roman" w:cs="Times New Roman" w:ascii="Times New Roman" w:hAnsi="Times New Roman"/>
          <w:sz w:val="28"/>
          <w:szCs w:val="28"/>
          <w:highlight w:val="white"/>
        </w:rPr>
        <w:t>QRCode</w:t>
      </w:r>
      <w:r>
        <w:rPr>
          <w:rStyle w:val="Style14"/>
          <w:rFonts w:ascii="標楷體" w:hAnsi="標楷體" w:cs="Times New Roman" w:eastAsia="標楷體"/>
          <w:sz w:val="28"/>
          <w:szCs w:val="28"/>
          <w:highlight w:val="white"/>
        </w:rPr>
        <w:t>提供船舶保全員。</w:t>
      </w:r>
    </w:p>
    <w:p>
      <w:pPr>
        <w:pStyle w:val="1"/>
        <w:numPr>
          <w:ilvl w:val="0"/>
          <w:numId w:val="5"/>
        </w:numPr>
        <w:tabs>
          <w:tab w:val="left" w:pos="0" w:leader="none"/>
        </w:tabs>
        <w:spacing w:lineRule="auto" w:line="360"/>
        <w:ind w:left="1133" w:hanging="0"/>
        <w:jc w:val="both"/>
        <w:textAlignment w:val="center"/>
        <w:rPr/>
      </w:pPr>
      <w:r>
        <w:rPr>
          <w:rStyle w:val="Style14"/>
          <w:rFonts w:ascii="標楷體" w:hAnsi="標楷體" w:cs="Times New Roman" w:eastAsia="標楷體"/>
          <w:sz w:val="28"/>
          <w:szCs w:val="28"/>
          <w:highlight w:val="white"/>
        </w:rPr>
        <w:t>船舶保全員應依國際船舶和港口設施保全章程</w:t>
      </w:r>
      <w:r>
        <w:rPr>
          <w:rStyle w:val="Style14"/>
          <w:rFonts w:eastAsia="標楷體" w:cs="Times New Roman" w:ascii="標楷體" w:hAnsi="標楷體"/>
          <w:sz w:val="28"/>
          <w:szCs w:val="28"/>
          <w:highlight w:val="white"/>
        </w:rPr>
        <w:t>(</w:t>
      </w:r>
      <w:r>
        <w:rPr>
          <w:rStyle w:val="Style14"/>
          <w:rFonts w:eastAsia="標楷體" w:cs="Times New Roman" w:ascii="Times New Roman" w:hAnsi="Times New Roman"/>
          <w:sz w:val="28"/>
          <w:szCs w:val="28"/>
          <w:highlight w:val="white"/>
        </w:rPr>
        <w:t>ISPS Code</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規定管制人員上船，並將船舶</w:t>
      </w:r>
      <w:r>
        <w:rPr>
          <w:rStyle w:val="Style14"/>
          <w:rFonts w:eastAsia="標楷體" w:cs="Times New Roman" w:ascii="Times New Roman" w:hAnsi="Times New Roman"/>
          <w:sz w:val="28"/>
          <w:szCs w:val="28"/>
          <w:highlight w:val="white"/>
        </w:rPr>
        <w:t>QRCode</w:t>
      </w:r>
      <w:r>
        <w:rPr>
          <w:rStyle w:val="Style14"/>
          <w:rFonts w:ascii="標楷體" w:hAnsi="標楷體" w:cs="Times New Roman" w:eastAsia="標楷體"/>
          <w:sz w:val="28"/>
          <w:szCs w:val="28"/>
          <w:highlight w:val="white"/>
        </w:rPr>
        <w:t>放置船上入出口或安全處，供登船人員持手機掃描船舶</w:t>
      </w:r>
      <w:r>
        <w:rPr>
          <w:rStyle w:val="Style14"/>
          <w:rFonts w:eastAsia="標楷體" w:cs="Times New Roman" w:ascii="Times New Roman" w:hAnsi="Times New Roman"/>
          <w:sz w:val="28"/>
          <w:szCs w:val="28"/>
          <w:highlight w:val="white"/>
        </w:rPr>
        <w:t>QRCode</w:t>
      </w:r>
      <w:r>
        <w:rPr>
          <w:rStyle w:val="Style14"/>
          <w:rFonts w:ascii="標楷體" w:hAnsi="標楷體" w:cs="Times New Roman" w:eastAsia="標楷體"/>
          <w:sz w:val="28"/>
          <w:szCs w:val="28"/>
          <w:highlight w:val="white"/>
        </w:rPr>
        <w:t>進行系統登錄。</w:t>
      </w:r>
    </w:p>
    <w:p>
      <w:pPr>
        <w:pStyle w:val="1"/>
        <w:numPr>
          <w:ilvl w:val="0"/>
          <w:numId w:val="5"/>
        </w:numPr>
        <w:tabs>
          <w:tab w:val="left" w:pos="0" w:leader="none"/>
        </w:tabs>
        <w:spacing w:lineRule="auto" w:line="360"/>
        <w:ind w:left="1133" w:hanging="0"/>
        <w:jc w:val="both"/>
        <w:textAlignment w:val="center"/>
        <w:rPr/>
      </w:pPr>
      <w:r>
        <w:rPr>
          <w:rStyle w:val="Style14"/>
          <w:rFonts w:ascii="標楷體" w:hAnsi="標楷體" w:cs="Times New Roman" w:eastAsia="標楷體"/>
          <w:sz w:val="28"/>
          <w:szCs w:val="28"/>
          <w:highlight w:val="white"/>
        </w:rPr>
        <w:t>前款船舶屬</w:t>
      </w:r>
      <w:r>
        <w:rPr>
          <w:rStyle w:val="Style14"/>
          <w:rFonts w:ascii="標楷體" w:hAnsi="標楷體" w:cs="Times New Roman" w:eastAsia="標楷體"/>
          <w:sz w:val="28"/>
          <w:szCs w:val="28"/>
        </w:rPr>
        <w:t>油輪、油品船、油槽船、化學液體船、液化石油氣船、液化天然氣船、液化氣體船、油散兩用船、油化船，</w:t>
      </w:r>
      <w:r>
        <w:rPr>
          <w:rStyle w:val="Style14"/>
          <w:rFonts w:ascii="標楷體" w:hAnsi="標楷體" w:cs="Times New Roman" w:eastAsia="標楷體"/>
          <w:sz w:val="28"/>
          <w:szCs w:val="28"/>
          <w:highlight w:val="white"/>
        </w:rPr>
        <w:t>船舶保全員得免於船上入出口或安全處放置船舶</w:t>
      </w:r>
      <w:r>
        <w:rPr>
          <w:rStyle w:val="Style14"/>
          <w:rFonts w:eastAsia="Times New Roman" w:cs="Times New Roman" w:ascii="Times New Roman" w:hAnsi="Times New Roman"/>
          <w:sz w:val="28"/>
          <w:szCs w:val="28"/>
          <w:highlight w:val="white"/>
        </w:rPr>
        <w:t>QRCode</w:t>
      </w:r>
      <w:r>
        <w:rPr>
          <w:rStyle w:val="Style14"/>
          <w:rFonts w:ascii="標楷體" w:hAnsi="標楷體" w:cs="Times New Roman" w:eastAsia="標楷體"/>
          <w:sz w:val="28"/>
          <w:szCs w:val="28"/>
          <w:highlight w:val="white"/>
        </w:rPr>
        <w:t>，由本局另以</w:t>
      </w:r>
      <w:r>
        <w:rPr>
          <w:rStyle w:val="Style14"/>
          <w:rFonts w:eastAsia="Times New Roman" w:cs="Times New Roman" w:ascii="Times New Roman" w:hAnsi="Times New Roman"/>
          <w:sz w:val="28"/>
          <w:szCs w:val="28"/>
          <w:highlight w:val="white"/>
        </w:rPr>
        <w:t>MTNet</w:t>
      </w:r>
      <w:r>
        <w:rPr>
          <w:rStyle w:val="Style14"/>
          <w:rFonts w:ascii="標楷體" w:hAnsi="標楷體" w:cs="Times New Roman" w:eastAsia="標楷體"/>
          <w:sz w:val="28"/>
          <w:szCs w:val="28"/>
          <w:highlight w:val="white"/>
        </w:rPr>
        <w:t>揭露。</w:t>
      </w:r>
    </w:p>
    <w:p>
      <w:pPr>
        <w:pStyle w:val="1"/>
        <w:numPr>
          <w:ilvl w:val="0"/>
          <w:numId w:val="5"/>
        </w:numPr>
        <w:tabs>
          <w:tab w:val="left" w:pos="0" w:leader="none"/>
        </w:tabs>
        <w:spacing w:lineRule="auto" w:line="360"/>
        <w:ind w:left="1133" w:hanging="0"/>
        <w:jc w:val="both"/>
        <w:textAlignment w:val="center"/>
        <w:rPr/>
      </w:pPr>
      <w:r>
        <w:rPr>
          <w:rStyle w:val="Style14"/>
          <w:rFonts w:ascii="標楷體" w:hAnsi="標楷體" w:cs="Times New Roman" w:eastAsia="標楷體"/>
          <w:sz w:val="28"/>
          <w:szCs w:val="28"/>
          <w:highlight w:val="white"/>
        </w:rPr>
        <w:t>登船人員應辦理以下事項，始得登船︰</w:t>
      </w:r>
    </w:p>
    <w:p>
      <w:pPr>
        <w:pStyle w:val="1"/>
        <w:numPr>
          <w:ilvl w:val="1"/>
          <w:numId w:val="5"/>
        </w:numPr>
        <w:tabs>
          <w:tab w:val="left" w:pos="0" w:leader="none"/>
        </w:tabs>
        <w:spacing w:lineRule="auto" w:line="360"/>
        <w:ind w:left="1560" w:hanging="0"/>
        <w:jc w:val="both"/>
        <w:textAlignment w:val="center"/>
        <w:rPr/>
      </w:pPr>
      <w:r>
        <w:rPr>
          <w:rStyle w:val="Style14"/>
          <w:rFonts w:ascii="標楷體" w:hAnsi="標楷體" w:cs="Times New Roman" w:eastAsia="標楷體"/>
          <w:sz w:val="28"/>
          <w:szCs w:val="28"/>
          <w:highlight w:val="white"/>
        </w:rPr>
        <w:t>初次登船者，其所屬登船業者</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機關</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應將登船人員資料，造冊提報本局審查；屬其他業別或人員者，應併同提報人員業別及登船理由。</w:t>
      </w:r>
    </w:p>
    <w:p>
      <w:pPr>
        <w:pStyle w:val="1"/>
        <w:numPr>
          <w:ilvl w:val="1"/>
          <w:numId w:val="5"/>
        </w:numPr>
        <w:tabs>
          <w:tab w:val="left" w:pos="0" w:leader="none"/>
        </w:tabs>
        <w:spacing w:lineRule="auto" w:line="360"/>
        <w:ind w:left="1560" w:hanging="0"/>
        <w:jc w:val="both"/>
        <w:textAlignment w:val="center"/>
        <w:rPr/>
      </w:pPr>
      <w:r>
        <w:rPr>
          <w:rStyle w:val="Style14"/>
          <w:rFonts w:ascii="標楷體" w:hAnsi="標楷體" w:cs="Times New Roman" w:eastAsia="標楷體"/>
          <w:sz w:val="28"/>
          <w:szCs w:val="28"/>
          <w:highlight w:val="white"/>
        </w:rPr>
        <w:t>登船人員應於登船前及離船後</w:t>
      </w:r>
      <w:r>
        <w:rPr>
          <w:rStyle w:val="Style14"/>
          <w:rFonts w:ascii="標楷體" w:hAnsi="標楷體" w:cs="Times New Roman" w:eastAsia="標楷體"/>
          <w:sz w:val="28"/>
          <w:szCs w:val="28"/>
        </w:rPr>
        <w:t>掃描船舶</w:t>
      </w:r>
      <w:r>
        <w:rPr>
          <w:rStyle w:val="Style14"/>
          <w:rFonts w:eastAsia="標楷體" w:cs="Times New Roman" w:ascii="Times New Roman" w:hAnsi="Times New Roman"/>
          <w:sz w:val="28"/>
          <w:szCs w:val="28"/>
        </w:rPr>
        <w:t>QRCode</w:t>
      </w:r>
      <w:r>
        <w:rPr>
          <w:rStyle w:val="Style14"/>
          <w:rFonts w:ascii="標楷體" w:hAnsi="標楷體" w:cs="Times New Roman" w:eastAsia="標楷體"/>
          <w:sz w:val="28"/>
          <w:szCs w:val="28"/>
        </w:rPr>
        <w:t>，完成登離船登錄作業</w:t>
      </w:r>
      <w:r>
        <w:rPr>
          <w:rStyle w:val="Style14"/>
          <w:rFonts w:ascii="標楷體" w:hAnsi="標楷體" w:cs="標楷體" w:eastAsia="標楷體"/>
          <w:sz w:val="28"/>
          <w:szCs w:val="28"/>
        </w:rPr>
        <w:t>。但有</w:t>
      </w:r>
      <w:r>
        <w:rPr>
          <w:rStyle w:val="Style14"/>
          <w:rFonts w:ascii="標楷體" w:hAnsi="標楷體" w:cs="Times New Roman" w:eastAsia="標楷體"/>
          <w:sz w:val="28"/>
          <w:szCs w:val="28"/>
        </w:rPr>
        <w:t>臨時性下船用餐、如廁等需求者，不在此限</w:t>
      </w:r>
      <w:r>
        <w:rPr>
          <w:rStyle w:val="Style14"/>
          <w:rFonts w:ascii="標楷體" w:hAnsi="標楷體" w:cs="Times New Roman" w:eastAsia="標楷體"/>
          <w:sz w:val="28"/>
          <w:szCs w:val="28"/>
          <w:highlight w:val="white"/>
        </w:rPr>
        <w:t>。</w:t>
      </w:r>
    </w:p>
    <w:p>
      <w:pPr>
        <w:pStyle w:val="1"/>
        <w:numPr>
          <w:ilvl w:val="1"/>
          <w:numId w:val="5"/>
        </w:numPr>
        <w:tabs>
          <w:tab w:val="left" w:pos="0" w:leader="none"/>
        </w:tabs>
        <w:spacing w:lineRule="auto" w:line="360"/>
        <w:ind w:left="1560" w:hanging="0"/>
        <w:jc w:val="both"/>
        <w:textAlignment w:val="center"/>
        <w:rPr/>
      </w:pPr>
      <w:r>
        <w:rPr>
          <w:rStyle w:val="Style14"/>
          <w:rFonts w:ascii="標楷體" w:hAnsi="標楷體" w:cs="Times New Roman" w:eastAsia="標楷體"/>
          <w:sz w:val="28"/>
          <w:szCs w:val="28"/>
          <w:highlight w:val="white"/>
        </w:rPr>
        <w:t>第一點第一項第一款之郵輪相關業者，於郵輪辦理活動，應提報登船人員名冊，經本局依各港區條件</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如：候船空間、船舶停靠時間及旅客動線等</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專案審查同意後，列冊之登船人員得免依前款規定，辦理登離船登錄作業。</w:t>
      </w:r>
    </w:p>
    <w:p>
      <w:pPr>
        <w:pStyle w:val="1"/>
        <w:numPr>
          <w:ilvl w:val="0"/>
          <w:numId w:val="5"/>
        </w:numPr>
        <w:tabs>
          <w:tab w:val="left" w:pos="0" w:leader="none"/>
        </w:tabs>
        <w:spacing w:lineRule="auto" w:line="360"/>
        <w:ind w:left="1133" w:hanging="0"/>
        <w:jc w:val="both"/>
        <w:textAlignment w:val="center"/>
        <w:rPr/>
      </w:pPr>
      <w:r>
        <w:rPr>
          <w:rStyle w:val="Style14"/>
          <w:rFonts w:ascii="標楷體" w:hAnsi="標楷體" w:cs="Times New Roman" w:eastAsia="標楷體"/>
          <w:sz w:val="28"/>
          <w:szCs w:val="28"/>
          <w:highlight w:val="white"/>
        </w:rPr>
        <w:t>請船務代理業者協助通知船方，於登船人員登船期間，船長應指派專人，加強船上之人員管控。</w:t>
      </w:r>
    </w:p>
    <w:p>
      <w:pPr>
        <w:pStyle w:val="1"/>
        <w:numPr>
          <w:ilvl w:val="0"/>
          <w:numId w:val="6"/>
        </w:numPr>
        <w:tabs>
          <w:tab w:val="left" w:pos="0" w:leader="none"/>
        </w:tabs>
        <w:spacing w:lineRule="auto" w:line="360"/>
        <w:ind w:left="567" w:hanging="0"/>
        <w:jc w:val="both"/>
        <w:textAlignment w:val="center"/>
        <w:rPr/>
      </w:pPr>
      <w:r>
        <w:rPr>
          <w:rStyle w:val="Style14"/>
          <w:rFonts w:ascii="標楷體" w:hAnsi="標楷體" w:cs="Times New Roman" w:eastAsia="標楷體"/>
          <w:bCs/>
          <w:sz w:val="28"/>
          <w:szCs w:val="28"/>
        </w:rPr>
        <w:t>查核機制：</w:t>
      </w:r>
      <w:r>
        <w:rPr>
          <w:rStyle w:val="Style14"/>
          <w:rFonts w:ascii="標楷體" w:hAnsi="標楷體" w:cs="Times New Roman" w:eastAsia="標楷體"/>
          <w:sz w:val="28"/>
          <w:szCs w:val="28"/>
        </w:rPr>
        <w:t>登船作業管理由</w:t>
      </w:r>
      <w:r>
        <w:rPr>
          <w:rStyle w:val="Style14"/>
          <w:rFonts w:ascii="標楷體" w:hAnsi="標楷體" w:cs="Times New Roman" w:eastAsia="標楷體"/>
          <w:sz w:val="28"/>
          <w:szCs w:val="28"/>
          <w:highlight w:val="white"/>
        </w:rPr>
        <w:t>本</w:t>
      </w:r>
      <w:r>
        <w:rPr>
          <w:rStyle w:val="Style14"/>
          <w:rFonts w:ascii="標楷體" w:hAnsi="標楷體" w:cs="Times New Roman" w:eastAsia="標楷體"/>
          <w:sz w:val="28"/>
          <w:szCs w:val="28"/>
        </w:rPr>
        <w:t>局岸邊查核。</w:t>
      </w:r>
    </w:p>
    <w:p>
      <w:pPr>
        <w:pStyle w:val="1"/>
        <w:numPr>
          <w:ilvl w:val="0"/>
          <w:numId w:val="6"/>
        </w:numPr>
        <w:tabs>
          <w:tab w:val="left" w:pos="0" w:leader="none"/>
        </w:tabs>
        <w:spacing w:lineRule="auto" w:line="360"/>
        <w:ind w:left="567" w:hanging="0"/>
        <w:jc w:val="both"/>
        <w:textAlignment w:val="center"/>
        <w:rPr/>
      </w:pPr>
      <w:r>
        <w:rPr>
          <w:rStyle w:val="Style14"/>
          <w:rFonts w:ascii="標楷體" w:hAnsi="標楷體" w:cs="Times New Roman" w:eastAsia="標楷體"/>
          <w:sz w:val="28"/>
          <w:szCs w:val="28"/>
          <w:highlight w:val="white"/>
        </w:rPr>
        <w:t>第一點之登船業別或對象於中央流行疫情指揮中心成立期間，應遵守該指揮中心及本局防疫管理措施之規定。</w:t>
      </w:r>
    </w:p>
    <w:p>
      <w:pPr>
        <w:pStyle w:val="1"/>
        <w:numPr>
          <w:ilvl w:val="0"/>
          <w:numId w:val="6"/>
        </w:numPr>
        <w:tabs>
          <w:tab w:val="left" w:pos="0" w:leader="none"/>
        </w:tabs>
        <w:spacing w:lineRule="auto" w:line="360"/>
        <w:ind w:left="567" w:hanging="0"/>
        <w:jc w:val="both"/>
        <w:textAlignment w:val="center"/>
        <w:rPr/>
      </w:pPr>
      <w:r>
        <w:rPr>
          <w:rStyle w:val="Style14"/>
          <w:rFonts w:ascii="標楷體" w:hAnsi="標楷體" w:cs="Times New Roman" w:eastAsia="標楷體"/>
          <w:sz w:val="28"/>
          <w:szCs w:val="28"/>
          <w:highlight w:val="white"/>
        </w:rPr>
        <w:t>登船人員個人資料之蒐集、處理及利用，登船業者</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機關</w:t>
      </w:r>
      <w:r>
        <w:rPr>
          <w:rStyle w:val="Style14"/>
          <w:rFonts w:eastAsia="標楷體" w:cs="Times New Roman" w:ascii="標楷體" w:hAnsi="標楷體"/>
          <w:sz w:val="28"/>
          <w:szCs w:val="28"/>
          <w:highlight w:val="white"/>
        </w:rPr>
        <w:t>)</w:t>
      </w:r>
      <w:r>
        <w:rPr>
          <w:rStyle w:val="Style14"/>
          <w:rFonts w:ascii="標楷體" w:hAnsi="標楷體" w:cs="Times New Roman" w:eastAsia="標楷體"/>
          <w:sz w:val="28"/>
          <w:szCs w:val="28"/>
          <w:highlight w:val="white"/>
        </w:rPr>
        <w:t>應依個人資料保護法及其他法令之規定為之。</w:t>
      </w:r>
    </w:p>
    <w:p>
      <w:pPr>
        <w:pStyle w:val="Normal"/>
        <w:spacing w:lineRule="exact" w:line="500"/>
        <w:ind w:left="1134" w:hanging="616"/>
        <w:jc w:val="both"/>
        <w:rPr>
          <w:rFonts w:ascii="標楷體" w:hAnsi="標楷體" w:eastAsia="標楷體" w:cs="SimSun"/>
          <w:kern w:val="0"/>
          <w:sz w:val="28"/>
          <w:szCs w:val="28"/>
        </w:rPr>
      </w:pPr>
      <w:r>
        <w:rPr>
          <w:rFonts w:eastAsia="標楷體" w:cs="SimSun" w:ascii="標楷體" w:hAnsi="標楷體"/>
          <w:kern w:val="0"/>
          <w:sz w:val="28"/>
          <w:szCs w:val="28"/>
        </w:rPr>
      </w:r>
    </w:p>
    <w:sectPr>
      <w:type w:val="nextPage"/>
      <w:pgSz w:w="11906" w:h="16838"/>
      <w:pgMar w:left="1800" w:right="1800"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Liberation Sans">
    <w:altName w:val="Arial"/>
    <w:charset w:val="00"/>
    <w:family w:val="swiss"/>
    <w:pitch w:val="variable"/>
  </w:font>
  <w:font w:name="標楷體">
    <w:charset w:val="00"/>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left"/>
      <w:pPr>
        <w:ind w:left="0" w:hanging="0"/>
      </w:pPr>
      <w:rPr>
        <w:sz w:val="28"/>
        <w:b/>
        <w:szCs w:val="28"/>
        <w:rFonts w:ascii="Times New Roman" w:hAnsi="Times New Roman" w:cs="Times New Roman"/>
      </w:rPr>
    </w:lvl>
    <w:lvl w:ilvl="1">
      <w:start w:val="1"/>
      <w:numFmt w:val="taiwaneseCountingThousand"/>
      <w:suff w:val="nothing"/>
      <w:lvlText w:val="(%2)"/>
      <w:lvlJc w:val="left"/>
      <w:pPr>
        <w:ind w:left="0" w:hanging="0"/>
      </w:pPr>
      <w:rPr>
        <w:sz w:val="28"/>
        <w:szCs w:val="28"/>
        <w:rFonts w:ascii="Times New Roman" w:hAnsi="Times New Roman" w:cs="Times New Roman"/>
      </w:rPr>
    </w:lvl>
    <w:lvl w:ilvl="2">
      <w:start w:val="1"/>
      <w:numFmt w:val="decimal"/>
      <w:suff w:val="nothing"/>
      <w:lvlText w:val="%3."/>
      <w:lvlJc w:val="left"/>
      <w:pPr>
        <w:ind w:left="0" w:hanging="0"/>
      </w:pPr>
      <w:rPr>
        <w:rFonts w:cs="Times New Roman"/>
      </w:rPr>
    </w:lvl>
    <w:lvl w:ilvl="3">
      <w:start w:val="1"/>
      <w:numFmt w:val="decimal"/>
      <w:suff w:val="nothing"/>
      <w:lvlText w:val="%4."/>
      <w:lvlJc w:val="left"/>
      <w:pPr>
        <w:ind w:left="0" w:hanging="0"/>
      </w:pPr>
      <w:rPr>
        <w:rFonts w:cs="Times New Roman"/>
      </w:rPr>
    </w:lvl>
    <w:lvl w:ilvl="4">
      <w:start w:val="1"/>
      <w:numFmt w:val="ideographTraditional"/>
      <w:suff w:val="nothing"/>
      <w:lvlText w:val="%5、"/>
      <w:lvlJc w:val="left"/>
      <w:pPr>
        <w:ind w:left="0" w:hanging="0"/>
      </w:pPr>
      <w:rPr>
        <w:rFonts w:cs="Times New Roman"/>
      </w:rPr>
    </w:lvl>
    <w:lvl w:ilvl="5">
      <w:start w:val="1"/>
      <w:numFmt w:val="lowerRoman"/>
      <w:suff w:val="nothing"/>
      <w:lvlText w:val="%6."/>
      <w:lvlJc w:val="right"/>
      <w:pPr>
        <w:ind w:left="0" w:hanging="0"/>
      </w:pPr>
      <w:rPr>
        <w:rFonts w:cs="Times New Roman"/>
      </w:rPr>
    </w:lvl>
    <w:lvl w:ilvl="6">
      <w:start w:val="1"/>
      <w:numFmt w:val="decimal"/>
      <w:suff w:val="nothing"/>
      <w:lvlText w:val="%7."/>
      <w:lvlJc w:val="left"/>
      <w:pPr>
        <w:ind w:left="0" w:hanging="0"/>
      </w:pPr>
      <w:rPr>
        <w:rFonts w:cs="Times New Roman"/>
      </w:rPr>
    </w:lvl>
    <w:lvl w:ilvl="7">
      <w:start w:val="1"/>
      <w:numFmt w:val="ideographTraditional"/>
      <w:suff w:val="nothing"/>
      <w:lvlText w:val="%8、"/>
      <w:lvlJc w:val="left"/>
      <w:pPr>
        <w:ind w:left="0" w:hanging="0"/>
      </w:pPr>
      <w:rPr>
        <w:rFonts w:cs="Times New Roman"/>
      </w:rPr>
    </w:lvl>
    <w:lvl w:ilvl="8">
      <w:start w:val="1"/>
      <w:numFmt w:val="lowerRoman"/>
      <w:suff w:val="nothing"/>
      <w:lvlText w:val="%9."/>
      <w:lvlJc w:val="right"/>
      <w:pPr>
        <w:ind w:left="0" w:hanging="0"/>
      </w:pPr>
      <w:rPr>
        <w:rFonts w:cs="Times New Roman"/>
      </w:rPr>
    </w:lvl>
  </w:abstractNum>
  <w:abstractNum w:abstractNumId="2">
    <w:lvl w:ilvl="0">
      <w:start w:val="1"/>
      <w:numFmt w:val="taiwaneseCountingThousand"/>
      <w:suff w:val="nothing"/>
      <w:lvlText w:val="(%1)"/>
      <w:lvlJc w:val="left"/>
      <w:pPr>
        <w:ind w:left="0" w:hanging="0"/>
      </w:pPr>
      <w:rPr>
        <w:sz w:val="28"/>
        <w:szCs w:val="28"/>
        <w:rFonts w:ascii="Times New Roman" w:hAnsi="Times New Roman" w:cs="Times New Roman"/>
      </w:rPr>
    </w:lvl>
    <w:lvl w:ilvl="1">
      <w:start w:val="1"/>
      <w:numFmt w:val="decimal"/>
      <w:suff w:val="nothing"/>
      <w:lvlText w:val="%2."/>
      <w:lvlJc w:val="left"/>
      <w:pPr>
        <w:ind w:left="0" w:hanging="0"/>
      </w:pPr>
      <w:rPr>
        <w:sz w:val="28"/>
        <w:rFonts w:ascii="Times New Roman" w:hAnsi="Times New Roman" w:cs="Times New Roman"/>
      </w:rPr>
    </w:lvl>
    <w:lvl w:ilvl="2">
      <w:start w:val="1"/>
      <w:numFmt w:val="decimal"/>
      <w:suff w:val="nothing"/>
      <w:lvlText w:val="(%3)"/>
      <w:lvlJc w:val="left"/>
      <w:pPr>
        <w:ind w:left="0" w:hanging="0"/>
      </w:pPr>
      <w:rPr>
        <w:rFonts w:cs="Times New Roman"/>
      </w:rPr>
    </w:lvl>
    <w:lvl w:ilvl="3">
      <w:start w:val="1"/>
      <w:numFmt w:val="decimal"/>
      <w:suff w:val="nothing"/>
      <w:lvlText w:val="%4."/>
      <w:lvlJc w:val="left"/>
      <w:pPr>
        <w:ind w:left="0" w:hanging="0"/>
      </w:pPr>
      <w:rPr>
        <w:rFonts w:cs="Times New Roman"/>
      </w:rPr>
    </w:lvl>
    <w:lvl w:ilvl="4">
      <w:start w:val="1"/>
      <w:numFmt w:val="ideographTraditional"/>
      <w:suff w:val="nothing"/>
      <w:lvlText w:val="%5、"/>
      <w:lvlJc w:val="left"/>
      <w:pPr>
        <w:ind w:left="0" w:hanging="0"/>
      </w:pPr>
      <w:rPr>
        <w:rFonts w:cs="Times New Roman"/>
      </w:rPr>
    </w:lvl>
    <w:lvl w:ilvl="5">
      <w:start w:val="1"/>
      <w:numFmt w:val="lowerRoman"/>
      <w:suff w:val="nothing"/>
      <w:lvlText w:val="%6."/>
      <w:lvlJc w:val="right"/>
      <w:pPr>
        <w:ind w:left="0" w:hanging="0"/>
      </w:pPr>
      <w:rPr>
        <w:rFonts w:cs="Times New Roman"/>
      </w:rPr>
    </w:lvl>
    <w:lvl w:ilvl="6">
      <w:start w:val="1"/>
      <w:numFmt w:val="decimal"/>
      <w:suff w:val="nothing"/>
      <w:lvlText w:val="%7."/>
      <w:lvlJc w:val="left"/>
      <w:pPr>
        <w:ind w:left="0" w:hanging="0"/>
      </w:pPr>
      <w:rPr>
        <w:rFonts w:cs="Times New Roman"/>
      </w:rPr>
    </w:lvl>
    <w:lvl w:ilvl="7">
      <w:start w:val="1"/>
      <w:numFmt w:val="ideographTraditional"/>
      <w:suff w:val="nothing"/>
      <w:lvlText w:val="%8、"/>
      <w:lvlJc w:val="left"/>
      <w:pPr>
        <w:ind w:left="0" w:hanging="0"/>
      </w:pPr>
      <w:rPr>
        <w:rFonts w:cs="Times New Roman"/>
      </w:rPr>
    </w:lvl>
    <w:lvl w:ilvl="8">
      <w:start w:val="1"/>
      <w:numFmt w:val="lowerRoman"/>
      <w:suff w:val="nothing"/>
      <w:lvlText w:val="%9."/>
      <w:lvlJc w:val="right"/>
      <w:pPr>
        <w:ind w:left="0" w:hanging="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taiwaneseCountingThousand"/>
      <w:suff w:val="nothing"/>
      <w:lvlText w:val="%1、"/>
      <w:lvlJc w:val="left"/>
      <w:pPr>
        <w:ind w:left="0" w:hanging="0"/>
      </w:pPr>
      <w:rPr>
        <w:sz w:val="28"/>
        <w:b/>
        <w:szCs w:val="28"/>
        <w:rFonts w:ascii="Times New Roman" w:hAnsi="Times New Roman" w:cs="Times New Roman"/>
      </w:rPr>
    </w:lvl>
    <w:lvl w:ilvl="1">
      <w:start w:val="1"/>
      <w:numFmt w:val="taiwaneseCountingThousand"/>
      <w:suff w:val="nothing"/>
      <w:lvlText w:val="(%2)"/>
      <w:lvlJc w:val="left"/>
      <w:pPr>
        <w:ind w:left="0" w:hanging="0"/>
      </w:pPr>
      <w:rPr>
        <w:sz w:val="28"/>
        <w:szCs w:val="28"/>
        <w:rFonts w:ascii="Times New Roman" w:hAnsi="Times New Roman" w:cs="Times New Roman"/>
      </w:rPr>
    </w:lvl>
    <w:lvl w:ilvl="2">
      <w:start w:val="1"/>
      <w:numFmt w:val="decimal"/>
      <w:suff w:val="nothing"/>
      <w:lvlText w:val="%3."/>
      <w:lvlJc w:val="left"/>
      <w:pPr>
        <w:ind w:left="0" w:hanging="0"/>
      </w:pPr>
      <w:rPr>
        <w:rFonts w:cs="Times New Roman"/>
      </w:rPr>
    </w:lvl>
    <w:lvl w:ilvl="3">
      <w:start w:val="1"/>
      <w:numFmt w:val="decimal"/>
      <w:suff w:val="nothing"/>
      <w:lvlText w:val="%4."/>
      <w:lvlJc w:val="left"/>
      <w:pPr>
        <w:ind w:left="0" w:hanging="0"/>
      </w:pPr>
      <w:rPr>
        <w:rFonts w:cs="Times New Roman"/>
      </w:rPr>
    </w:lvl>
    <w:lvl w:ilvl="4">
      <w:start w:val="1"/>
      <w:numFmt w:val="ideographTraditional"/>
      <w:suff w:val="nothing"/>
      <w:lvlText w:val="%5、"/>
      <w:lvlJc w:val="left"/>
      <w:pPr>
        <w:ind w:left="0" w:hanging="0"/>
      </w:pPr>
      <w:rPr>
        <w:rFonts w:cs="Times New Roman"/>
      </w:rPr>
    </w:lvl>
    <w:lvl w:ilvl="5">
      <w:start w:val="1"/>
      <w:numFmt w:val="lowerRoman"/>
      <w:suff w:val="nothing"/>
      <w:lvlText w:val="%6."/>
      <w:lvlJc w:val="right"/>
      <w:pPr>
        <w:ind w:left="0" w:hanging="0"/>
      </w:pPr>
      <w:rPr>
        <w:rFonts w:cs="Times New Roman"/>
      </w:rPr>
    </w:lvl>
    <w:lvl w:ilvl="6">
      <w:start w:val="1"/>
      <w:numFmt w:val="decimal"/>
      <w:suff w:val="nothing"/>
      <w:lvlText w:val="%7."/>
      <w:lvlJc w:val="left"/>
      <w:pPr>
        <w:ind w:left="0" w:hanging="0"/>
      </w:pPr>
      <w:rPr>
        <w:rFonts w:cs="Times New Roman"/>
      </w:rPr>
    </w:lvl>
    <w:lvl w:ilvl="7">
      <w:start w:val="1"/>
      <w:numFmt w:val="ideographTraditional"/>
      <w:suff w:val="nothing"/>
      <w:lvlText w:val="%8、"/>
      <w:lvlJc w:val="left"/>
      <w:pPr>
        <w:ind w:left="0" w:hanging="0"/>
      </w:pPr>
      <w:rPr>
        <w:rFonts w:cs="Times New Roman"/>
      </w:rPr>
    </w:lvl>
    <w:lvl w:ilvl="8">
      <w:start w:val="1"/>
      <w:numFmt w:val="lowerRoman"/>
      <w:suff w:val="nothing"/>
      <w:lvlText w:val="%9."/>
      <w:lvlJc w:val="right"/>
      <w:pPr>
        <w:ind w:left="0" w:hanging="0"/>
      </w:pPr>
      <w:rPr>
        <w:rFonts w:cs="Times New Roman"/>
      </w:rPr>
    </w:lvl>
  </w:abstractNum>
  <w:abstractNum w:abstractNumId="5">
    <w:lvl w:ilvl="0">
      <w:start w:val="1"/>
      <w:numFmt w:val="taiwaneseCountingThousand"/>
      <w:suff w:val="nothing"/>
      <w:lvlText w:val="(%1)"/>
      <w:lvlJc w:val="left"/>
      <w:pPr>
        <w:ind w:left="0" w:hanging="0"/>
      </w:pPr>
      <w:rPr>
        <w:sz w:val="28"/>
        <w:szCs w:val="28"/>
        <w:rFonts w:ascii="Times New Roman" w:hAnsi="Times New Roman" w:cs="Times New Roman"/>
      </w:rPr>
    </w:lvl>
    <w:lvl w:ilvl="1">
      <w:start w:val="1"/>
      <w:numFmt w:val="decimal"/>
      <w:suff w:val="nothing"/>
      <w:lvlText w:val="%2."/>
      <w:lvlJc w:val="left"/>
      <w:pPr>
        <w:ind w:left="0" w:hanging="0"/>
      </w:pPr>
      <w:rPr>
        <w:sz w:val="28"/>
        <w:rFonts w:ascii="Times New Roman" w:hAnsi="Times New Roman" w:cs="Times New Roman"/>
      </w:rPr>
    </w:lvl>
    <w:lvl w:ilvl="2">
      <w:start w:val="1"/>
      <w:numFmt w:val="decimal"/>
      <w:suff w:val="nothing"/>
      <w:lvlText w:val="(%3)"/>
      <w:lvlJc w:val="left"/>
      <w:pPr>
        <w:ind w:left="0" w:hanging="0"/>
      </w:pPr>
      <w:rPr>
        <w:rFonts w:cs="Times New Roman"/>
      </w:rPr>
    </w:lvl>
    <w:lvl w:ilvl="3">
      <w:start w:val="1"/>
      <w:numFmt w:val="decimal"/>
      <w:suff w:val="nothing"/>
      <w:lvlText w:val="%4."/>
      <w:lvlJc w:val="left"/>
      <w:pPr>
        <w:ind w:left="0" w:hanging="0"/>
      </w:pPr>
      <w:rPr>
        <w:rFonts w:cs="Times New Roman"/>
      </w:rPr>
    </w:lvl>
    <w:lvl w:ilvl="4">
      <w:start w:val="1"/>
      <w:numFmt w:val="ideographTraditional"/>
      <w:suff w:val="nothing"/>
      <w:lvlText w:val="%5、"/>
      <w:lvlJc w:val="left"/>
      <w:pPr>
        <w:ind w:left="0" w:hanging="0"/>
      </w:pPr>
      <w:rPr>
        <w:rFonts w:cs="Times New Roman"/>
      </w:rPr>
    </w:lvl>
    <w:lvl w:ilvl="5">
      <w:start w:val="1"/>
      <w:numFmt w:val="lowerRoman"/>
      <w:suff w:val="nothing"/>
      <w:lvlText w:val="%6."/>
      <w:lvlJc w:val="right"/>
      <w:pPr>
        <w:ind w:left="0" w:hanging="0"/>
      </w:pPr>
      <w:rPr>
        <w:rFonts w:cs="Times New Roman"/>
      </w:rPr>
    </w:lvl>
    <w:lvl w:ilvl="6">
      <w:start w:val="1"/>
      <w:numFmt w:val="decimal"/>
      <w:suff w:val="nothing"/>
      <w:lvlText w:val="%7."/>
      <w:lvlJc w:val="left"/>
      <w:pPr>
        <w:ind w:left="0" w:hanging="0"/>
      </w:pPr>
      <w:rPr>
        <w:rFonts w:cs="Times New Roman"/>
      </w:rPr>
    </w:lvl>
    <w:lvl w:ilvl="7">
      <w:start w:val="1"/>
      <w:numFmt w:val="ideographTraditional"/>
      <w:suff w:val="nothing"/>
      <w:lvlText w:val="%8、"/>
      <w:lvlJc w:val="left"/>
      <w:pPr>
        <w:ind w:left="0" w:hanging="0"/>
      </w:pPr>
      <w:rPr>
        <w:rFonts w:cs="Times New Roman"/>
      </w:rPr>
    </w:lvl>
    <w:lvl w:ilvl="8">
      <w:start w:val="1"/>
      <w:numFmt w:val="lowerRoman"/>
      <w:suff w:val="nothing"/>
      <w:lvlText w:val="%9."/>
      <w:lvlJc w:val="right"/>
      <w:pPr>
        <w:ind w:left="0" w:hanging="0"/>
      </w:pPr>
      <w:rPr>
        <w:rFonts w:cs="Times New Roman"/>
      </w:rPr>
    </w:lvl>
  </w:abstractNum>
  <w:abstractNum w:abstractNumId="6">
    <w:lvl w:ilvl="0">
      <w:start w:val="1"/>
      <w:numFmt w:val="taiwaneseCountingThousand"/>
      <w:suff w:val="nothing"/>
      <w:lvlText w:val="%1、"/>
      <w:lvlJc w:val="left"/>
      <w:pPr>
        <w:ind w:left="0" w:hanging="0"/>
      </w:pPr>
      <w:rPr>
        <w:sz w:val="28"/>
        <w:b/>
        <w:szCs w:val="28"/>
        <w:rFonts w:ascii="Times New Roman" w:hAnsi="Times New Roman" w:cs="Times New Roman"/>
      </w:rPr>
    </w:lvl>
    <w:lvl w:ilvl="1">
      <w:start w:val="1"/>
      <w:numFmt w:val="taiwaneseCountingThousand"/>
      <w:suff w:val="nothing"/>
      <w:lvlText w:val="(%2)"/>
      <w:lvlJc w:val="left"/>
      <w:pPr>
        <w:ind w:left="0" w:hanging="0"/>
      </w:pPr>
      <w:rPr>
        <w:sz w:val="28"/>
        <w:szCs w:val="28"/>
        <w:rFonts w:ascii="Times New Roman" w:hAnsi="Times New Roman" w:cs="Times New Roman"/>
      </w:rPr>
    </w:lvl>
    <w:lvl w:ilvl="2">
      <w:start w:val="1"/>
      <w:numFmt w:val="decimal"/>
      <w:suff w:val="nothing"/>
      <w:lvlText w:val="%3."/>
      <w:lvlJc w:val="left"/>
      <w:pPr>
        <w:ind w:left="0" w:hanging="0"/>
      </w:pPr>
      <w:rPr>
        <w:rFonts w:cs="Times New Roman"/>
      </w:rPr>
    </w:lvl>
    <w:lvl w:ilvl="3">
      <w:start w:val="1"/>
      <w:numFmt w:val="decimal"/>
      <w:suff w:val="nothing"/>
      <w:lvlText w:val="%4."/>
      <w:lvlJc w:val="left"/>
      <w:pPr>
        <w:ind w:left="0" w:hanging="0"/>
      </w:pPr>
      <w:rPr>
        <w:rFonts w:cs="Times New Roman"/>
      </w:rPr>
    </w:lvl>
    <w:lvl w:ilvl="4">
      <w:start w:val="1"/>
      <w:numFmt w:val="ideographTraditional"/>
      <w:suff w:val="nothing"/>
      <w:lvlText w:val="%5、"/>
      <w:lvlJc w:val="left"/>
      <w:pPr>
        <w:ind w:left="0" w:hanging="0"/>
      </w:pPr>
      <w:rPr>
        <w:rFonts w:cs="Times New Roman"/>
      </w:rPr>
    </w:lvl>
    <w:lvl w:ilvl="5">
      <w:start w:val="1"/>
      <w:numFmt w:val="lowerRoman"/>
      <w:suff w:val="nothing"/>
      <w:lvlText w:val="%6."/>
      <w:lvlJc w:val="right"/>
      <w:pPr>
        <w:ind w:left="0" w:hanging="0"/>
      </w:pPr>
      <w:rPr>
        <w:rFonts w:cs="Times New Roman"/>
      </w:rPr>
    </w:lvl>
    <w:lvl w:ilvl="6">
      <w:start w:val="1"/>
      <w:numFmt w:val="decimal"/>
      <w:suff w:val="nothing"/>
      <w:lvlText w:val="%7."/>
      <w:lvlJc w:val="left"/>
      <w:pPr>
        <w:ind w:left="0" w:hanging="0"/>
      </w:pPr>
      <w:rPr>
        <w:rFonts w:cs="Times New Roman"/>
      </w:rPr>
    </w:lvl>
    <w:lvl w:ilvl="7">
      <w:start w:val="1"/>
      <w:numFmt w:val="ideographTraditional"/>
      <w:suff w:val="nothing"/>
      <w:lvlText w:val="%8、"/>
      <w:lvlJc w:val="left"/>
      <w:pPr>
        <w:ind w:left="0" w:hanging="0"/>
      </w:pPr>
      <w:rPr>
        <w:rFonts w:cs="Times New Roman"/>
      </w:rPr>
    </w:lvl>
    <w:lvl w:ilvl="8">
      <w:start w:val="1"/>
      <w:numFmt w:val="lowerRoman"/>
      <w:suff w:val="nothing"/>
      <w:lvlText w:val="%9."/>
      <w:lvlJc w:val="right"/>
      <w:pPr>
        <w:ind w:left="0" w:hanging="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Tahoma"/>
      <w:sz w:val="18"/>
      <w:szCs w:val="18"/>
    </w:rPr>
  </w:style>
  <w:style w:type="character" w:styleId="ListLabel1">
    <w:name w:val="ListLabel 1"/>
    <w:qFormat/>
    <w:rPr>
      <w:rFonts w:ascii="Times New Roman" w:hAnsi="Times New Roman" w:cs="Times New Roman"/>
      <w:b/>
      <w:sz w:val="28"/>
      <w:szCs w:val="28"/>
    </w:rPr>
  </w:style>
  <w:style w:type="character" w:styleId="ListLabel2">
    <w:name w:val="ListLabel 2"/>
    <w:qFormat/>
    <w:rPr>
      <w:rFonts w:ascii="Times New Roman" w:hAnsi="Times New Roman" w:cs="Times New Roman"/>
      <w:sz w:val="28"/>
      <w:szCs w:val="28"/>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imes New Roman" w:hAnsi="Times New Roman" w:cs="Times New Roman"/>
      <w:sz w:val="28"/>
      <w:szCs w:val="28"/>
    </w:rPr>
  </w:style>
  <w:style w:type="character" w:styleId="ListLabel11">
    <w:name w:val="ListLabel 11"/>
    <w:qFormat/>
    <w:rPr>
      <w:rFonts w:ascii="Times New Roman" w:hAnsi="Times New Roman" w:cs="Times New Roman"/>
      <w:sz w:val="28"/>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WWCharLFO2LVL1">
    <w:name w:val="WW_CharLFO2LVL1"/>
    <w:qFormat/>
    <w:rPr>
      <w:rFonts w:ascii="Times New Roman" w:hAnsi="Times New Roman" w:cs="Times New Roman"/>
      <w:b/>
      <w:sz w:val="28"/>
      <w:szCs w:val="28"/>
    </w:rPr>
  </w:style>
  <w:style w:type="character" w:styleId="WWCharLFO2LVL2">
    <w:name w:val="WW_CharLFO2LVL2"/>
    <w:qFormat/>
    <w:rPr>
      <w:rFonts w:ascii="Times New Roman" w:hAnsi="Times New Roman" w:cs="Times New Roman"/>
      <w:sz w:val="28"/>
      <w:szCs w:val="28"/>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ascii="Times New Roman" w:hAnsi="Times New Roman" w:cs="Times New Roman"/>
      <w:sz w:val="28"/>
      <w:szCs w:val="28"/>
    </w:rPr>
  </w:style>
  <w:style w:type="character" w:styleId="WWCharLFO3LVL2">
    <w:name w:val="WW_CharLFO3LVL2"/>
    <w:qFormat/>
    <w:rPr>
      <w:rFonts w:ascii="Times New Roman" w:hAnsi="Times New Roman" w:cs="Times New Roman"/>
      <w:sz w:val="28"/>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paragraph" w:styleId="Style18">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Heading">
    <w:name w:val="Heading"/>
    <w:basedOn w:val="Normal"/>
    <w:next w:val="TextBody"/>
    <w:qFormat/>
    <w:pPr>
      <w:keepNext w:val="true"/>
      <w:suppressAutoHyphens w:val="true"/>
      <w:spacing w:before="240" w:after="120"/>
    </w:pPr>
    <w:rPr>
      <w:rFonts w:ascii="Liberation Sans" w:hAnsi="Liberation Sans" w:eastAsia="微軟正黑體" w:cs="思源黑體 TW"/>
      <w:sz w:val="28"/>
      <w:szCs w:val="28"/>
    </w:rPr>
  </w:style>
  <w:style w:type="paragraph" w:styleId="TextBody">
    <w:name w:val="Body Text"/>
    <w:basedOn w:val="Normal"/>
    <w:pPr>
      <w:suppressAutoHyphens w:val="true"/>
      <w:spacing w:lineRule="auto" w:line="276" w:before="0" w:after="140"/>
    </w:pPr>
    <w:rPr/>
  </w:style>
  <w:style w:type="paragraph" w:styleId="Style19">
    <w:name w:val="清單"/>
    <w:basedOn w:val="TextBody"/>
    <w:qFormat/>
    <w:pPr>
      <w:suppressAutoHyphens w:val="true"/>
    </w:pPr>
    <w:rPr>
      <w:rFonts w:cs="思源黑體 TW"/>
    </w:rPr>
  </w:style>
  <w:style w:type="paragraph" w:styleId="Style20">
    <w:name w:val="標號"/>
    <w:basedOn w:val="Normal"/>
    <w:qFormat/>
    <w:pPr>
      <w:suppressLineNumbers/>
      <w:suppressAutoHyphens w:val="true"/>
      <w:spacing w:before="120" w:after="120"/>
    </w:pPr>
    <w:rPr>
      <w:rFonts w:cs="思源黑體 TW"/>
      <w:i/>
      <w:iCs/>
      <w:szCs w:val="24"/>
    </w:rPr>
  </w:style>
  <w:style w:type="paragraph" w:styleId="Index">
    <w:name w:val="Index"/>
    <w:basedOn w:val="Normal"/>
    <w:qFormat/>
    <w:pPr>
      <w:suppressLineNumbers/>
      <w:suppressAutoHyphens w:val="true"/>
    </w:pPr>
    <w:rPr>
      <w:rFonts w:cs="思源黑體 TW"/>
    </w:rPr>
  </w:style>
  <w:style w:type="paragraph" w:styleId="Style21">
    <w:name w:val="頁首"/>
    <w:basedOn w:val="Normal"/>
    <w:qFormat/>
    <w:pPr>
      <w:tabs>
        <w:tab w:val="center" w:pos="4153" w:leader="none"/>
        <w:tab w:val="right" w:pos="8306" w:leader="none"/>
      </w:tabs>
      <w:suppressAutoHyphens w:val="true"/>
      <w:snapToGrid w:val="false"/>
    </w:pPr>
    <w:rPr>
      <w:sz w:val="20"/>
      <w:szCs w:val="20"/>
    </w:rPr>
  </w:style>
  <w:style w:type="paragraph" w:styleId="Style22">
    <w:name w:val="頁尾"/>
    <w:basedOn w:val="Normal"/>
    <w:qFormat/>
    <w:pPr>
      <w:tabs>
        <w:tab w:val="center" w:pos="4153" w:leader="none"/>
        <w:tab w:val="right" w:pos="8306" w:leader="none"/>
      </w:tabs>
      <w:suppressAutoHyphens w:val="true"/>
      <w:snapToGrid w:val="false"/>
    </w:pPr>
    <w:rPr>
      <w:sz w:val="20"/>
      <w:szCs w:val="20"/>
    </w:rPr>
  </w:style>
  <w:style w:type="paragraph" w:styleId="Style23">
    <w:name w:val="註解方塊文字"/>
    <w:basedOn w:val="Normal"/>
    <w:qFormat/>
    <w:pPr>
      <w:suppressAutoHyphens w:val="true"/>
    </w:pPr>
    <w:rPr>
      <w:rFonts w:ascii="Calibri Light" w:hAnsi="Calibri Light"/>
      <w:sz w:val="18"/>
      <w:szCs w:val="18"/>
    </w:rPr>
  </w:style>
  <w:style w:type="paragraph" w:styleId="DocumentMap">
    <w:name w:val="DocumentMap"/>
    <w:qFormat/>
    <w:pPr>
      <w:keepNext w:val="false"/>
      <w:keepLines w:val="false"/>
      <w:pageBreakBefore w:val="false"/>
      <w:widowControl/>
      <w:pBdr/>
      <w:shd w:fill="FFFFFF" w:val="clear"/>
      <w:suppressAutoHyphens w:val="true"/>
      <w:kinsoku w:val="true"/>
      <w:overflowPunct w:val="true"/>
      <w:autoSpaceDE w:val="true"/>
      <w:bidi w:val="0"/>
      <w:snapToGrid w:val="true"/>
      <w:spacing w:lineRule="auto" w:line="240"/>
      <w:jc w:val="left"/>
      <w:textAlignment w:val="auto"/>
    </w:pPr>
    <w:rPr>
      <w:rFonts w:cs="Calibri" w:ascii="Calibri" w:hAnsi="Calibri" w:eastAsia="新細明體"/>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1">
    <w:name w:val="清單段落1"/>
    <w:basedOn w:val="Normal"/>
    <w:qFormat/>
    <w:pPr>
      <w:suppressAutoHyphens w:val="true"/>
      <w:ind w:left="480" w:hanging="0"/>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LibreOffice/5.4.7.2$Linux_X86_64 LibreOffice_project/c838ef25c16710f8838b1faec480ebba495259d0</Application>
  <Pages>3</Pages>
  <Words>175</Words>
  <Characters>1001</Characters>
  <CharactersWithSpaces>1174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2023-06-26T03:02:00Z</dcterms:created>
  <dc:creator>張雅婷</dc:creator>
  <dc:description/>
  <dc:language>en-US</dc:language>
  <cp:lastModifiedBy>TP31</cp:lastModifiedBy>
  <cp:lastPrinted>2024-02-01T07:56:00Z</cp:lastPrinted>
  <dcterms:modified xsi:type="dcterms:W3CDTF">2024-02-01T07:57:00Z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