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40"/>
        <w:jc w:val="center"/>
        <w:rPr>
          <w:rFonts w:ascii="標楷體" w:hAnsi="標楷體" w:eastAsia="標楷體" w:cs="微軟正黑體"/>
          <w:b/>
          <w:b/>
          <w:bCs/>
          <w:kern w:val="0"/>
          <w:sz w:val="40"/>
          <w:szCs w:val="28"/>
        </w:rPr>
      </w:pPr>
      <w:r>
        <w:rPr>
          <w:rFonts w:ascii="標楷體" w:hAnsi="標楷體" w:cs="微軟正黑體" w:eastAsia="標楷體"/>
          <w:b/>
          <w:bCs/>
          <w:kern w:val="0"/>
          <w:sz w:val="40"/>
          <w:szCs w:val="28"/>
        </w:rPr>
        <w:t>海運特定人員尿液採驗作業要點</w:t>
      </w:r>
    </w:p>
    <w:p>
      <w:pPr>
        <w:pStyle w:val="Cjk"/>
        <w:snapToGrid w:val="false"/>
        <w:spacing w:before="180" w:after="0"/>
        <w:jc w:val="end"/>
        <w:rPr/>
      </w:pPr>
      <w:r>
        <w:rPr>
          <w:rStyle w:val="Style14"/>
          <w:rFonts w:ascii="標楷體" w:hAnsi="標楷體" w:eastAsia="標楷體"/>
          <w:b/>
          <w:bCs/>
          <w:highlight w:val="white"/>
        </w:rPr>
        <w:t>交通部航港局</w:t>
      </w:r>
      <w:r>
        <w:rPr>
          <w:rStyle w:val="Style14"/>
          <w:rFonts w:eastAsia="標楷體" w:cs="Times New Roman" w:ascii="標楷體" w:hAnsi="標楷體"/>
          <w:b/>
          <w:bCs/>
          <w:highlight w:val="white"/>
        </w:rPr>
        <w:t>109</w:t>
      </w:r>
      <w:r>
        <w:rPr>
          <w:rStyle w:val="Style14"/>
          <w:rFonts w:ascii="標楷體" w:hAnsi="標楷體" w:eastAsia="標楷體"/>
          <w:b/>
          <w:bCs/>
          <w:highlight w:val="white"/>
        </w:rPr>
        <w:t>年</w:t>
      </w:r>
      <w:r>
        <w:rPr>
          <w:rStyle w:val="Style14"/>
          <w:rFonts w:eastAsia="標楷體" w:ascii="標楷體" w:hAnsi="標楷體"/>
          <w:b/>
          <w:bCs/>
          <w:highlight w:val="white"/>
        </w:rPr>
        <w:t>10</w:t>
      </w:r>
      <w:r>
        <w:rPr>
          <w:rStyle w:val="Style14"/>
          <w:rFonts w:ascii="標楷體" w:hAnsi="標楷體" w:eastAsia="標楷體"/>
          <w:b/>
          <w:bCs/>
          <w:highlight w:val="white"/>
        </w:rPr>
        <w:t>月</w:t>
      </w:r>
      <w:r>
        <w:rPr>
          <w:rStyle w:val="Style14"/>
          <w:rFonts w:eastAsia="標楷體" w:ascii="標楷體" w:hAnsi="標楷體"/>
          <w:b/>
          <w:bCs/>
          <w:highlight w:val="white"/>
        </w:rPr>
        <w:t>28</w:t>
      </w:r>
      <w:r>
        <w:rPr>
          <w:rStyle w:val="Style14"/>
          <w:rFonts w:ascii="標楷體" w:hAnsi="標楷體" w:eastAsia="標楷體"/>
          <w:b/>
          <w:bCs/>
          <w:highlight w:val="white"/>
        </w:rPr>
        <w:t>日航員字第</w:t>
      </w:r>
      <w:r>
        <w:rPr>
          <w:rStyle w:val="Style14"/>
          <w:rFonts w:eastAsia="標楷體" w:cs="Times New Roman" w:ascii="標楷體" w:hAnsi="標楷體"/>
          <w:b/>
          <w:bCs/>
          <w:highlight w:val="white"/>
        </w:rPr>
        <w:t>1091910515A</w:t>
      </w:r>
      <w:r>
        <w:rPr>
          <w:rStyle w:val="Style14"/>
          <w:rFonts w:ascii="標楷體" w:hAnsi="標楷體" w:eastAsia="標楷體"/>
          <w:b/>
          <w:bCs/>
          <w:highlight w:val="white"/>
        </w:rPr>
        <w:t>號令訂定</w:t>
      </w:r>
    </w:p>
    <w:p>
      <w:pPr>
        <w:pStyle w:val="Style22"/>
        <w:numPr>
          <w:ilvl w:val="0"/>
          <w:numId w:val="3"/>
        </w:numPr>
        <w:tabs>
          <w:tab w:val="left" w:pos="567" w:leader="none"/>
        </w:tabs>
        <w:spacing w:lineRule="exact" w:line="400"/>
        <w:ind w:start="567" w:hanging="567"/>
        <w:jc w:val="both"/>
        <w:rPr/>
      </w:pPr>
      <w:r>
        <w:rPr>
          <w:rStyle w:val="Style14"/>
          <w:rFonts w:ascii="標楷體" w:hAnsi="標楷體" w:cs="微軟正黑體" w:eastAsia="標楷體"/>
          <w:kern w:val="0"/>
          <w:sz w:val="28"/>
          <w:szCs w:val="28"/>
        </w:rPr>
        <w:t>為防制毒品氾濫，維護公共交通安全，特依特定人員尿液採驗辦法第十三條規定訂定本要點。</w:t>
      </w:r>
      <w:r>
        <w:rPr>
          <w:rStyle w:val="Style14"/>
          <w:rFonts w:ascii="標楷體" w:hAnsi="標楷體" w:cs="微軟正黑體" w:eastAsia="標楷體"/>
          <w:color w:val="000000"/>
          <w:kern w:val="0"/>
          <w:sz w:val="28"/>
          <w:szCs w:val="28"/>
        </w:rPr>
        <w:t>本要點未規定者，依有關法令規定辦理。</w:t>
      </w:r>
    </w:p>
    <w:p>
      <w:pPr>
        <w:pStyle w:val="Style22"/>
        <w:numPr>
          <w:ilvl w:val="0"/>
          <w:numId w:val="3"/>
        </w:numPr>
        <w:tabs>
          <w:tab w:val="left" w:pos="567" w:leader="none"/>
        </w:tabs>
        <w:spacing w:lineRule="exact" w:line="400"/>
        <w:ind w:start="567" w:hanging="567"/>
        <w:jc w:val="both"/>
        <w:rPr/>
      </w:pPr>
      <w:r>
        <w:rPr>
          <w:rStyle w:val="Style14"/>
          <w:rFonts w:ascii="標楷體" w:hAnsi="標楷體" w:cs="微軟正黑體" w:eastAsia="標楷體"/>
          <w:kern w:val="0"/>
          <w:sz w:val="28"/>
          <w:szCs w:val="28"/>
        </w:rPr>
        <w:t>本要點用詞定義如下：</w:t>
      </w:r>
    </w:p>
    <w:p>
      <w:pPr>
        <w:pStyle w:val="Normal"/>
        <w:tabs>
          <w:tab w:val="clear" w:pos="480"/>
        </w:tabs>
        <w:spacing w:lineRule="exact" w:line="400"/>
        <w:ind w:start="1040" w:hanging="560"/>
        <w:jc w:val="both"/>
        <w:rPr/>
      </w:pPr>
      <w:r>
        <w:rPr>
          <w:rStyle w:val="Style14"/>
          <w:rFonts w:eastAsia="標楷體" w:cs="DFKaiShu-SB-Estd-BF" w:ascii="標楷體" w:hAnsi="標楷體"/>
          <w:kern w:val="0"/>
          <w:sz w:val="28"/>
          <w:szCs w:val="28"/>
        </w:rPr>
        <w:t>(</w:t>
      </w:r>
      <w:r>
        <w:rPr>
          <w:rStyle w:val="Style14"/>
          <w:rFonts w:ascii="標楷體" w:hAnsi="標楷體" w:cs="微軟正黑體" w:eastAsia="標楷體"/>
          <w:kern w:val="0"/>
          <w:sz w:val="28"/>
          <w:szCs w:val="28"/>
        </w:rPr>
        <w:t>一</w:t>
      </w:r>
      <w:r>
        <w:rPr>
          <w:rStyle w:val="Style14"/>
          <w:rFonts w:eastAsia="標楷體" w:cs="DFKaiShu-SB-Estd-BF" w:ascii="標楷體" w:hAnsi="標楷體"/>
          <w:kern w:val="0"/>
          <w:sz w:val="28"/>
          <w:szCs w:val="28"/>
        </w:rPr>
        <w:t>)</w:t>
      </w:r>
      <w:r>
        <w:rPr>
          <w:rStyle w:val="Style14"/>
          <w:rFonts w:ascii="標楷體" w:hAnsi="標楷體" w:cs="微軟正黑體" w:eastAsia="標楷體"/>
          <w:kern w:val="0"/>
          <w:sz w:val="28"/>
          <w:szCs w:val="28"/>
        </w:rPr>
        <w:t>海運特定人員</w:t>
      </w:r>
      <w:r>
        <w:rPr>
          <w:rStyle w:val="Style14"/>
          <w:rFonts w:ascii="標楷體" w:hAnsi="標楷體" w:cs="Malgun Gothic Semilight" w:eastAsia="標楷體"/>
          <w:kern w:val="0"/>
          <w:sz w:val="28"/>
          <w:szCs w:val="28"/>
        </w:rPr>
        <w:t>：屬交通部管轄，</w:t>
      </w:r>
      <w:r>
        <w:rPr>
          <w:rStyle w:val="Style14"/>
          <w:rFonts w:ascii="標楷體" w:hAnsi="標楷體" w:cs="微軟正黑體" w:eastAsia="標楷體"/>
          <w:kern w:val="0"/>
          <w:sz w:val="28"/>
          <w:szCs w:val="28"/>
        </w:rPr>
        <w:t>服務於總噸位五十以上非動力船舶以及總噸位二十以上動力船舶上之所有人員</w:t>
      </w:r>
      <w:r>
        <w:rPr>
          <w:rStyle w:val="Style14"/>
          <w:rFonts w:ascii="標楷體" w:hAnsi="標楷體" w:cs="微軟正黑體" w:eastAsia="標楷體"/>
          <w:color w:val="000000"/>
          <w:kern w:val="0"/>
          <w:sz w:val="28"/>
          <w:szCs w:val="28"/>
        </w:rPr>
        <w:t>，以及</w:t>
      </w:r>
      <w:r>
        <w:rPr>
          <w:rStyle w:val="Style14"/>
          <w:rFonts w:ascii="標楷體" w:hAnsi="標楷體" w:cs="微軟正黑體" w:eastAsia="標楷體"/>
          <w:kern w:val="0"/>
          <w:sz w:val="28"/>
          <w:szCs w:val="28"/>
        </w:rPr>
        <w:t>門式機操作人員及橋式機操作人員</w:t>
      </w:r>
      <w:r>
        <w:rPr>
          <w:rStyle w:val="Style14"/>
          <w:rFonts w:ascii="標楷體" w:hAnsi="標楷體" w:cs="Malgun Gothic Semilight" w:eastAsia="標楷體"/>
          <w:kern w:val="0"/>
          <w:sz w:val="28"/>
          <w:szCs w:val="28"/>
        </w:rPr>
        <w:t>。</w:t>
      </w:r>
    </w:p>
    <w:p>
      <w:pPr>
        <w:pStyle w:val="Normal"/>
        <w:tabs>
          <w:tab w:val="clear" w:pos="480"/>
        </w:tabs>
        <w:spacing w:lineRule="exact" w:line="400"/>
        <w:ind w:start="1040" w:hanging="560"/>
        <w:jc w:val="both"/>
        <w:rPr/>
      </w:pPr>
      <w:r>
        <w:rPr>
          <w:rStyle w:val="Style14"/>
          <w:rFonts w:eastAsia="標楷體" w:cs="DFKaiShu-SB-Estd-BF" w:ascii="標楷體" w:hAnsi="標楷體"/>
          <w:kern w:val="0"/>
          <w:sz w:val="28"/>
          <w:szCs w:val="28"/>
        </w:rPr>
        <w:t>(</w:t>
      </w:r>
      <w:r>
        <w:rPr>
          <w:rStyle w:val="Style14"/>
          <w:rFonts w:ascii="標楷體" w:hAnsi="標楷體" w:cs="微軟正黑體" w:eastAsia="標楷體"/>
          <w:kern w:val="0"/>
          <w:sz w:val="28"/>
          <w:szCs w:val="28"/>
        </w:rPr>
        <w:t>二</w:t>
      </w:r>
      <w:r>
        <w:rPr>
          <w:rStyle w:val="Style14"/>
          <w:rFonts w:eastAsia="標楷體" w:cs="DFKaiShu-SB-Estd-BF" w:ascii="標楷體" w:hAnsi="標楷體"/>
          <w:kern w:val="0"/>
          <w:sz w:val="28"/>
          <w:szCs w:val="28"/>
        </w:rPr>
        <w:t>)</w:t>
      </w:r>
      <w:r>
        <w:rPr>
          <w:rStyle w:val="Style14"/>
          <w:rFonts w:ascii="標楷體" w:hAnsi="標楷體" w:cs="微軟正黑體" w:eastAsia="標楷體"/>
          <w:kern w:val="0"/>
          <w:sz w:val="28"/>
          <w:szCs w:val="28"/>
        </w:rPr>
        <w:t>受僱檢驗：指於受僱前實施之尿液檢驗。</w:t>
      </w:r>
    </w:p>
    <w:p>
      <w:pPr>
        <w:pStyle w:val="Normal"/>
        <w:tabs>
          <w:tab w:val="clear" w:pos="480"/>
        </w:tabs>
        <w:spacing w:lineRule="exact" w:line="400"/>
        <w:ind w:start="1040" w:hanging="560"/>
        <w:jc w:val="both"/>
        <w:rPr>
          <w:rFonts w:ascii="標楷體" w:hAnsi="標楷體" w:eastAsia="標楷體" w:cs="微軟正黑體"/>
          <w:kern w:val="0"/>
          <w:sz w:val="28"/>
          <w:szCs w:val="28"/>
        </w:rPr>
      </w:pPr>
      <w:r>
        <w:rPr>
          <w:rFonts w:eastAsia="標楷體" w:cs="微軟正黑體" w:ascii="標楷體" w:hAnsi="標楷體"/>
          <w:kern w:val="0"/>
          <w:sz w:val="28"/>
          <w:szCs w:val="28"/>
        </w:rPr>
        <w:t>(</w:t>
      </w:r>
      <w:r>
        <w:rPr>
          <w:rFonts w:ascii="標楷體" w:hAnsi="標楷體" w:cs="微軟正黑體" w:eastAsia="標楷體"/>
          <w:kern w:val="0"/>
          <w:sz w:val="28"/>
          <w:szCs w:val="28"/>
        </w:rPr>
        <w:t>三</w:t>
      </w:r>
      <w:r>
        <w:rPr>
          <w:rFonts w:eastAsia="標楷體" w:cs="微軟正黑體" w:ascii="標楷體" w:hAnsi="標楷體"/>
          <w:kern w:val="0"/>
          <w:sz w:val="28"/>
          <w:szCs w:val="28"/>
        </w:rPr>
        <w:t>)</w:t>
      </w:r>
      <w:r>
        <w:rPr>
          <w:rFonts w:ascii="標楷體" w:hAnsi="標楷體" w:cs="微軟正黑體" w:eastAsia="標楷體"/>
          <w:kern w:val="0"/>
          <w:sz w:val="28"/>
          <w:szCs w:val="28"/>
        </w:rPr>
        <w:t>懷疑檢驗：指被懷疑有施用、持有毒品之可能時實施之尿液檢驗。</w:t>
      </w:r>
    </w:p>
    <w:p>
      <w:pPr>
        <w:pStyle w:val="Normal"/>
        <w:tabs>
          <w:tab w:val="clear" w:pos="480"/>
        </w:tabs>
        <w:spacing w:lineRule="exact" w:line="400"/>
        <w:ind w:start="1040" w:hanging="560"/>
        <w:jc w:val="both"/>
        <w:rPr>
          <w:rFonts w:ascii="標楷體" w:hAnsi="標楷體" w:eastAsia="標楷體" w:cs="微軟正黑體"/>
          <w:kern w:val="0"/>
          <w:sz w:val="28"/>
          <w:szCs w:val="28"/>
        </w:rPr>
      </w:pPr>
      <w:r>
        <w:rPr>
          <w:rFonts w:eastAsia="標楷體" w:cs="微軟正黑體" w:ascii="標楷體" w:hAnsi="標楷體"/>
          <w:kern w:val="0"/>
          <w:sz w:val="28"/>
          <w:szCs w:val="28"/>
        </w:rPr>
        <w:t>(</w:t>
      </w:r>
      <w:r>
        <w:rPr>
          <w:rFonts w:ascii="標楷體" w:hAnsi="標楷體" w:cs="微軟正黑體" w:eastAsia="標楷體"/>
          <w:kern w:val="0"/>
          <w:sz w:val="28"/>
          <w:szCs w:val="28"/>
        </w:rPr>
        <w:t>四</w:t>
      </w:r>
      <w:r>
        <w:rPr>
          <w:rFonts w:eastAsia="標楷體" w:cs="微軟正黑體" w:ascii="標楷體" w:hAnsi="標楷體"/>
          <w:kern w:val="0"/>
          <w:sz w:val="28"/>
          <w:szCs w:val="28"/>
        </w:rPr>
        <w:t>)</w:t>
      </w:r>
      <w:r>
        <w:rPr>
          <w:rFonts w:ascii="標楷體" w:hAnsi="標楷體" w:cs="微軟正黑體" w:eastAsia="標楷體"/>
          <w:kern w:val="0"/>
          <w:sz w:val="28"/>
          <w:szCs w:val="28"/>
        </w:rPr>
        <w:t>意外檢驗：指工作發生意外或海難時實施之尿液檢驗。</w:t>
      </w:r>
    </w:p>
    <w:p>
      <w:pPr>
        <w:pStyle w:val="Normal"/>
        <w:tabs>
          <w:tab w:val="clear" w:pos="480"/>
        </w:tabs>
        <w:spacing w:lineRule="exact" w:line="400"/>
        <w:ind w:start="1040" w:hanging="560"/>
        <w:jc w:val="both"/>
        <w:rPr>
          <w:rFonts w:ascii="標楷體" w:hAnsi="標楷體" w:eastAsia="標楷體" w:cs="微軟正黑體"/>
          <w:kern w:val="0"/>
          <w:sz w:val="28"/>
          <w:szCs w:val="28"/>
        </w:rPr>
      </w:pPr>
      <w:r>
        <w:rPr>
          <w:rFonts w:eastAsia="標楷體" w:cs="微軟正黑體" w:ascii="標楷體" w:hAnsi="標楷體"/>
          <w:kern w:val="0"/>
          <w:sz w:val="28"/>
          <w:szCs w:val="28"/>
        </w:rPr>
        <w:t>(</w:t>
      </w:r>
      <w:r>
        <w:rPr>
          <w:rFonts w:ascii="標楷體" w:hAnsi="標楷體" w:cs="微軟正黑體" w:eastAsia="標楷體"/>
          <w:kern w:val="0"/>
          <w:sz w:val="28"/>
          <w:szCs w:val="28"/>
        </w:rPr>
        <w:t>五</w:t>
      </w:r>
      <w:r>
        <w:rPr>
          <w:rFonts w:eastAsia="標楷體" w:cs="微軟正黑體" w:ascii="標楷體" w:hAnsi="標楷體"/>
          <w:kern w:val="0"/>
          <w:sz w:val="28"/>
          <w:szCs w:val="28"/>
        </w:rPr>
        <w:t>)</w:t>
      </w:r>
      <w:r>
        <w:rPr>
          <w:rFonts w:ascii="標楷體" w:hAnsi="標楷體" w:cs="微軟正黑體" w:eastAsia="標楷體"/>
          <w:kern w:val="0"/>
          <w:sz w:val="28"/>
          <w:szCs w:val="28"/>
        </w:rPr>
        <w:t>不定期檢驗：指不預定期日實施之尿液檢驗。</w:t>
      </w:r>
    </w:p>
    <w:p>
      <w:pPr>
        <w:pStyle w:val="Normal"/>
        <w:tabs>
          <w:tab w:val="clear" w:pos="480"/>
        </w:tabs>
        <w:spacing w:lineRule="exact" w:line="400"/>
        <w:ind w:start="1040" w:hanging="560"/>
        <w:jc w:val="both"/>
        <w:rPr>
          <w:rFonts w:ascii="標楷體" w:hAnsi="標楷體" w:eastAsia="標楷體" w:cs="微軟正黑體"/>
          <w:kern w:val="0"/>
          <w:sz w:val="28"/>
          <w:szCs w:val="28"/>
        </w:rPr>
      </w:pPr>
      <w:r>
        <w:rPr>
          <w:rFonts w:eastAsia="標楷體" w:cs="微軟正黑體" w:ascii="標楷體" w:hAnsi="標楷體"/>
          <w:kern w:val="0"/>
          <w:sz w:val="28"/>
          <w:szCs w:val="28"/>
        </w:rPr>
        <w:t>(</w:t>
      </w:r>
      <w:r>
        <w:rPr>
          <w:rFonts w:ascii="標楷體" w:hAnsi="標楷體" w:cs="微軟正黑體" w:eastAsia="標楷體"/>
          <w:kern w:val="0"/>
          <w:sz w:val="28"/>
          <w:szCs w:val="28"/>
        </w:rPr>
        <w:t>六</w:t>
      </w:r>
      <w:r>
        <w:rPr>
          <w:rFonts w:eastAsia="標楷體" w:cs="微軟正黑體" w:ascii="標楷體" w:hAnsi="標楷體"/>
          <w:kern w:val="0"/>
          <w:sz w:val="28"/>
          <w:szCs w:val="28"/>
        </w:rPr>
        <w:t>)</w:t>
      </w:r>
      <w:r>
        <w:rPr>
          <w:rFonts w:ascii="標楷體" w:hAnsi="標楷體" w:cs="微軟正黑體" w:eastAsia="標楷體"/>
          <w:kern w:val="0"/>
          <w:sz w:val="28"/>
          <w:szCs w:val="28"/>
        </w:rPr>
        <w:t>隨機檢驗：指以抽驗方式實施之尿液檢驗。</w:t>
      </w:r>
    </w:p>
    <w:p>
      <w:pPr>
        <w:pStyle w:val="Normal"/>
        <w:tabs>
          <w:tab w:val="clear" w:pos="480"/>
        </w:tabs>
        <w:spacing w:lineRule="exact" w:line="400"/>
        <w:ind w:start="1040" w:hanging="560"/>
        <w:jc w:val="both"/>
        <w:rPr/>
      </w:pPr>
      <w:r>
        <w:rPr>
          <w:rStyle w:val="Style14"/>
          <w:rFonts w:eastAsia="標楷體" w:cs="微軟正黑體" w:ascii="標楷體" w:hAnsi="標楷體"/>
          <w:kern w:val="0"/>
          <w:sz w:val="28"/>
          <w:szCs w:val="28"/>
        </w:rPr>
        <w:t>(</w:t>
      </w:r>
      <w:r>
        <w:rPr>
          <w:rStyle w:val="Style14"/>
          <w:rFonts w:ascii="標楷體" w:hAnsi="標楷體" w:cs="微軟正黑體" w:eastAsia="標楷體"/>
          <w:kern w:val="0"/>
          <w:sz w:val="28"/>
          <w:szCs w:val="28"/>
        </w:rPr>
        <w:t>七</w:t>
      </w:r>
      <w:r>
        <w:rPr>
          <w:rStyle w:val="Style14"/>
          <w:rFonts w:eastAsia="標楷體" w:cs="微軟正黑體" w:ascii="標楷體" w:hAnsi="標楷體"/>
          <w:kern w:val="0"/>
          <w:sz w:val="28"/>
          <w:szCs w:val="28"/>
        </w:rPr>
        <w:t>)</w:t>
      </w:r>
      <w:r>
        <w:rPr>
          <w:rStyle w:val="Style14"/>
          <w:rFonts w:ascii="標楷體" w:hAnsi="標楷體" w:cs="微軟正黑體" w:eastAsia="標楷體"/>
          <w:kern w:val="0"/>
          <w:sz w:val="28"/>
          <w:szCs w:val="28"/>
        </w:rPr>
        <w:t>受檢人：指經通知應受尿液檢驗之特定人員</w:t>
      </w:r>
      <w:r>
        <w:rPr>
          <w:rStyle w:val="Style14"/>
          <w:rFonts w:ascii="標楷體" w:hAnsi="標楷體" w:cs="Malgun Gothic Semilight" w:eastAsia="標楷體"/>
          <w:kern w:val="0"/>
          <w:sz w:val="28"/>
          <w:szCs w:val="28"/>
        </w:rPr>
        <w:t>。</w:t>
      </w:r>
    </w:p>
    <w:p>
      <w:pPr>
        <w:pStyle w:val="Normal"/>
        <w:tabs>
          <w:tab w:val="clear" w:pos="480"/>
        </w:tabs>
        <w:spacing w:lineRule="exact" w:line="400"/>
        <w:ind w:start="1040" w:hanging="560"/>
        <w:jc w:val="both"/>
        <w:rPr>
          <w:rFonts w:ascii="標楷體" w:hAnsi="標楷體" w:eastAsia="標楷體" w:cs="微軟正黑體"/>
          <w:kern w:val="0"/>
          <w:sz w:val="28"/>
          <w:szCs w:val="28"/>
        </w:rPr>
      </w:pPr>
      <w:r>
        <w:rPr>
          <w:rFonts w:eastAsia="標楷體" w:cs="微軟正黑體" w:ascii="標楷體" w:hAnsi="標楷體"/>
          <w:kern w:val="0"/>
          <w:sz w:val="28"/>
          <w:szCs w:val="28"/>
        </w:rPr>
        <w:t>(</w:t>
      </w:r>
      <w:r>
        <w:rPr>
          <w:rFonts w:ascii="標楷體" w:hAnsi="標楷體" w:cs="微軟正黑體" w:eastAsia="標楷體"/>
          <w:kern w:val="0"/>
          <w:sz w:val="28"/>
          <w:szCs w:val="28"/>
        </w:rPr>
        <w:t>八</w:t>
      </w:r>
      <w:r>
        <w:rPr>
          <w:rFonts w:eastAsia="標楷體" w:cs="微軟正黑體" w:ascii="標楷體" w:hAnsi="標楷體"/>
          <w:kern w:val="0"/>
          <w:sz w:val="28"/>
          <w:szCs w:val="28"/>
        </w:rPr>
        <w:t>)</w:t>
      </w:r>
      <w:r>
        <w:rPr>
          <w:rFonts w:ascii="標楷體" w:hAnsi="標楷體" w:cs="微軟正黑體" w:eastAsia="標楷體"/>
          <w:kern w:val="0"/>
          <w:sz w:val="28"/>
          <w:szCs w:val="28"/>
        </w:rPr>
        <w:t>海運業者：指從事船舶運送業、貨櫃集散站經營業、船舶貨物裝卸承攬業之業者。</w:t>
      </w:r>
    </w:p>
    <w:p>
      <w:pPr>
        <w:pStyle w:val="Style22"/>
        <w:numPr>
          <w:ilvl w:val="0"/>
          <w:numId w:val="3"/>
        </w:numPr>
        <w:tabs>
          <w:tab w:val="left" w:pos="567" w:leader="none"/>
        </w:tabs>
        <w:spacing w:lineRule="exact" w:line="400"/>
        <w:ind w:start="567" w:hanging="567"/>
        <w:jc w:val="both"/>
        <w:rPr>
          <w:rFonts w:ascii="標楷體" w:hAnsi="標楷體" w:eastAsia="標楷體" w:cs="微軟正黑體"/>
          <w:kern w:val="0"/>
          <w:sz w:val="28"/>
          <w:szCs w:val="28"/>
        </w:rPr>
      </w:pPr>
      <w:r>
        <w:rPr>
          <w:rFonts w:ascii="標楷體" w:hAnsi="標楷體" w:cs="微軟正黑體" w:eastAsia="標楷體"/>
          <w:kern w:val="0"/>
          <w:sz w:val="28"/>
          <w:szCs w:val="28"/>
        </w:rPr>
        <w:t>海運業者主管機關應每年督導其業者，對所屬海運特定人員實施不定期檢驗。</w:t>
      </w:r>
    </w:p>
    <w:p>
      <w:pPr>
        <w:pStyle w:val="Normal"/>
        <w:tabs>
          <w:tab w:val="clear" w:pos="480"/>
        </w:tabs>
        <w:spacing w:lineRule="exact" w:line="400"/>
        <w:ind w:start="566" w:hanging="0"/>
        <w:jc w:val="both"/>
        <w:rPr/>
      </w:pPr>
      <w:r>
        <w:rPr>
          <w:rStyle w:val="Style14"/>
          <w:rFonts w:ascii="標楷體" w:hAnsi="標楷體" w:cs="微軟正黑體" w:eastAsia="標楷體"/>
          <w:kern w:val="0"/>
          <w:sz w:val="28"/>
          <w:szCs w:val="28"/>
        </w:rPr>
        <w:t>前項檢驗應以隨機檢驗之方式辦理</w:t>
      </w:r>
      <w:r>
        <w:rPr>
          <w:rStyle w:val="Style14"/>
          <w:rFonts w:ascii="標楷體" w:hAnsi="標楷體" w:cs="Malgun Gothic Semilight" w:eastAsia="標楷體"/>
          <w:kern w:val="0"/>
          <w:sz w:val="28"/>
          <w:szCs w:val="28"/>
        </w:rPr>
        <w:t>，</w:t>
      </w:r>
      <w:r>
        <w:rPr>
          <w:rStyle w:val="Style14"/>
          <w:rFonts w:ascii="標楷體" w:hAnsi="標楷體" w:cs="微軟正黑體" w:eastAsia="標楷體"/>
          <w:kern w:val="0"/>
          <w:sz w:val="28"/>
          <w:szCs w:val="28"/>
        </w:rPr>
        <w:t>其抽檢率每年應達百分之二十五以上</w:t>
      </w:r>
      <w:r>
        <w:rPr>
          <w:rStyle w:val="Style14"/>
          <w:rFonts w:ascii="標楷體" w:hAnsi="標楷體" w:cs="Malgun Gothic Semilight" w:eastAsia="標楷體"/>
          <w:kern w:val="0"/>
          <w:sz w:val="28"/>
          <w:szCs w:val="28"/>
        </w:rPr>
        <w:t>。</w:t>
      </w:r>
      <w:r>
        <w:rPr>
          <w:rStyle w:val="Style14"/>
          <w:rFonts w:ascii="標楷體" w:hAnsi="標楷體" w:cs="微軟正黑體" w:eastAsia="標楷體"/>
          <w:kern w:val="0"/>
          <w:sz w:val="28"/>
          <w:szCs w:val="28"/>
        </w:rPr>
        <w:t>但連續兩年之陽性檢出率均低於百分之一時</w:t>
      </w:r>
      <w:r>
        <w:rPr>
          <w:rStyle w:val="Style14"/>
          <w:rFonts w:ascii="標楷體" w:hAnsi="標楷體" w:cs="Malgun Gothic Semilight" w:eastAsia="標楷體"/>
          <w:kern w:val="0"/>
          <w:sz w:val="28"/>
          <w:szCs w:val="28"/>
        </w:rPr>
        <w:t>，</w:t>
      </w:r>
      <w:r>
        <w:rPr>
          <w:rStyle w:val="Style14"/>
          <w:rFonts w:ascii="標楷體" w:hAnsi="標楷體" w:cs="微軟正黑體" w:eastAsia="標楷體"/>
          <w:kern w:val="0"/>
          <w:sz w:val="28"/>
          <w:szCs w:val="28"/>
        </w:rPr>
        <w:t>其抽檢率可降低至百分之十</w:t>
      </w:r>
      <w:r>
        <w:rPr>
          <w:rStyle w:val="Style14"/>
          <w:rFonts w:ascii="標楷體" w:hAnsi="標楷體" w:cs="Malgun Gothic Semilight" w:eastAsia="標楷體"/>
          <w:kern w:val="0"/>
          <w:sz w:val="28"/>
          <w:szCs w:val="28"/>
        </w:rPr>
        <w:t>。</w:t>
      </w:r>
    </w:p>
    <w:p>
      <w:pPr>
        <w:pStyle w:val="Normal"/>
        <w:tabs>
          <w:tab w:val="clear" w:pos="480"/>
        </w:tabs>
        <w:spacing w:lineRule="exact" w:line="400"/>
        <w:ind w:start="566" w:hanging="0"/>
        <w:jc w:val="both"/>
        <w:rPr/>
      </w:pPr>
      <w:r>
        <w:rPr>
          <w:rStyle w:val="Style14"/>
          <w:rFonts w:ascii="標楷體" w:hAnsi="標楷體" w:cs="微軟正黑體" w:eastAsia="標楷體"/>
          <w:kern w:val="0"/>
          <w:sz w:val="28"/>
          <w:szCs w:val="28"/>
        </w:rPr>
        <w:t>海運業者對所屬海運特定人員</w:t>
      </w:r>
      <w:r>
        <w:rPr>
          <w:rStyle w:val="Style14"/>
          <w:rFonts w:ascii="標楷體" w:hAnsi="標楷體" w:cs="Malgun Gothic Semilight" w:eastAsia="標楷體"/>
          <w:kern w:val="0"/>
          <w:sz w:val="28"/>
          <w:szCs w:val="28"/>
        </w:rPr>
        <w:t>，</w:t>
      </w:r>
      <w:r>
        <w:rPr>
          <w:rStyle w:val="Style14"/>
          <w:rFonts w:ascii="標楷體" w:hAnsi="標楷體" w:cs="微軟正黑體" w:eastAsia="標楷體"/>
          <w:kern w:val="0"/>
          <w:sz w:val="28"/>
          <w:szCs w:val="28"/>
        </w:rPr>
        <w:t>必要時得另實施受僱檢驗</w:t>
      </w:r>
      <w:r>
        <w:rPr>
          <w:rStyle w:val="Style14"/>
          <w:rFonts w:ascii="標楷體" w:hAnsi="標楷體" w:cs="Malgun Gothic Semilight" w:eastAsia="標楷體"/>
          <w:kern w:val="0"/>
          <w:sz w:val="28"/>
          <w:szCs w:val="28"/>
        </w:rPr>
        <w:t>、</w:t>
      </w:r>
      <w:r>
        <w:rPr>
          <w:rStyle w:val="Style14"/>
          <w:rFonts w:ascii="標楷體" w:hAnsi="標楷體" w:cs="微軟正黑體" w:eastAsia="標楷體"/>
          <w:kern w:val="0"/>
          <w:sz w:val="28"/>
          <w:szCs w:val="28"/>
        </w:rPr>
        <w:t>懷疑檢驗及意外檢驗</w:t>
      </w:r>
      <w:r>
        <w:rPr>
          <w:rStyle w:val="Style14"/>
          <w:rFonts w:ascii="標楷體" w:hAnsi="標楷體" w:cs="DFKaiShu-SB-Estd-BF" w:eastAsia="標楷體"/>
          <w:kern w:val="0"/>
          <w:sz w:val="28"/>
          <w:szCs w:val="28"/>
        </w:rPr>
        <w:t>。</w:t>
      </w:r>
    </w:p>
    <w:p>
      <w:pPr>
        <w:pStyle w:val="Normal"/>
        <w:tabs>
          <w:tab w:val="clear" w:pos="480"/>
        </w:tabs>
        <w:spacing w:lineRule="exact" w:line="400"/>
        <w:ind w:start="560" w:hanging="560"/>
        <w:jc w:val="both"/>
        <w:rPr/>
      </w:pPr>
      <w:r>
        <w:rPr>
          <w:rStyle w:val="Style14"/>
          <w:rFonts w:ascii="標楷體" w:hAnsi="標楷體" w:cs="Malgun Gothic Semilight" w:eastAsia="標楷體"/>
          <w:kern w:val="0"/>
          <w:sz w:val="28"/>
          <w:szCs w:val="28"/>
        </w:rPr>
        <w:t>四、不定期檢驗之實施，受檢人應依通知規定之時間、地點報到，接受採驗尿液。受檢人有正當理由無法依限接受採驗尿液時，</w:t>
      </w:r>
      <w:r>
        <w:rPr>
          <w:rStyle w:val="Style14"/>
          <w:rFonts w:ascii="標楷體" w:hAnsi="標楷體" w:cs="Malgun Gothic Semilight" w:eastAsia="標楷體"/>
          <w:color w:val="000000"/>
          <w:kern w:val="0"/>
          <w:sz w:val="28"/>
          <w:szCs w:val="28"/>
        </w:rPr>
        <w:t>海運</w:t>
      </w:r>
      <w:r>
        <w:rPr>
          <w:rStyle w:val="Style14"/>
          <w:rFonts w:ascii="標楷體" w:hAnsi="標楷體" w:cs="Malgun Gothic Semilight" w:eastAsia="標楷體"/>
          <w:kern w:val="0"/>
          <w:sz w:val="28"/>
          <w:szCs w:val="28"/>
        </w:rPr>
        <w:t>業者應於一個月內另行通知採驗尿液。</w:t>
      </w:r>
    </w:p>
    <w:p>
      <w:pPr>
        <w:pStyle w:val="Normal"/>
        <w:tabs>
          <w:tab w:val="clear" w:pos="480"/>
        </w:tabs>
        <w:spacing w:lineRule="exact" w:line="400"/>
        <w:ind w:start="560" w:hanging="56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五、受檢人拒絕接受尿液檢驗時，所屬業者得依僱傭契約、勞動契約或工作規定等為必要之措施。</w:t>
      </w:r>
    </w:p>
    <w:p>
      <w:pPr>
        <w:pStyle w:val="Normal"/>
        <w:tabs>
          <w:tab w:val="clear" w:pos="480"/>
        </w:tabs>
        <w:spacing w:lineRule="exact" w:line="400"/>
        <w:ind w:start="560" w:hanging="56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六、尿液之採集，應依衛生福利部公告之濫用藥物尿液採集相關規定辦理，並送衛生福利部指定或經認可公告之檢驗機關（構）檢驗。</w:t>
      </w:r>
    </w:p>
    <w:p>
      <w:pPr>
        <w:pStyle w:val="Normal"/>
        <w:tabs>
          <w:tab w:val="clear" w:pos="480"/>
        </w:tabs>
        <w:spacing w:lineRule="exact" w:line="400"/>
        <w:ind w:start="560" w:hanging="56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七、受檢人為婦女者，其尿液之採集應由婦女行之。</w:t>
      </w:r>
    </w:p>
    <w:p>
      <w:pPr>
        <w:pStyle w:val="Normal"/>
        <w:tabs>
          <w:tab w:val="clear" w:pos="480"/>
        </w:tabs>
        <w:spacing w:lineRule="exact" w:line="400"/>
        <w:ind w:start="560" w:hanging="56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八、尿液檢驗以嗎啡、安非他命、大麻及古柯鹼為基本項目，並得增加檢驗項目。</w:t>
      </w:r>
    </w:p>
    <w:p>
      <w:pPr>
        <w:pStyle w:val="Normal"/>
        <w:tabs>
          <w:tab w:val="clear" w:pos="480"/>
        </w:tabs>
        <w:spacing w:lineRule="exact" w:line="400"/>
        <w:ind w:start="560" w:hanging="56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九、海運業者於接獲檢驗報告後，應將檢驗結果通知受檢人。</w:t>
      </w:r>
    </w:p>
    <w:p>
      <w:pPr>
        <w:pStyle w:val="Normal"/>
        <w:tabs>
          <w:tab w:val="clear" w:pos="480"/>
        </w:tabs>
        <w:spacing w:lineRule="exact" w:line="400"/>
        <w:ind w:start="560" w:hanging="560"/>
        <w:jc w:val="both"/>
        <w:rPr/>
      </w:pPr>
      <w:r>
        <w:rPr>
          <w:rStyle w:val="Style14"/>
          <w:rFonts w:ascii="標楷體" w:hAnsi="標楷體" w:cs="Malgun Gothic Semilight" w:eastAsia="標楷體"/>
          <w:kern w:val="0"/>
          <w:sz w:val="28"/>
          <w:szCs w:val="28"/>
        </w:rPr>
        <w:t>十、檢驗報告呈陽性者，受檢人應接受進一步醫學評估。如確定藥物成癮或依藥情事者，</w:t>
      </w:r>
      <w:r>
        <w:rPr>
          <w:rStyle w:val="Style14"/>
          <w:rFonts w:ascii="標楷體" w:hAnsi="標楷體" w:cs="Malgun Gothic Semilight" w:eastAsia="標楷體"/>
          <w:color w:val="000000"/>
          <w:kern w:val="0"/>
          <w:sz w:val="28"/>
          <w:szCs w:val="28"/>
        </w:rPr>
        <w:t>應對受檢人及其職務</w:t>
      </w:r>
      <w:r>
        <w:rPr>
          <w:rStyle w:val="Style14"/>
          <w:rFonts w:ascii="標楷體" w:hAnsi="標楷體" w:cs="Malgun Gothic Semilight" w:eastAsia="標楷體"/>
          <w:kern w:val="0"/>
          <w:sz w:val="28"/>
          <w:szCs w:val="28"/>
        </w:rPr>
        <w:t>作適當之處理。</w:t>
      </w:r>
    </w:p>
    <w:p>
      <w:pPr>
        <w:pStyle w:val="Normal"/>
        <w:tabs>
          <w:tab w:val="clear" w:pos="480"/>
        </w:tabs>
        <w:spacing w:lineRule="exact" w:line="400"/>
        <w:ind w:start="840" w:hanging="84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十一、海運業者應依營運調度情形，於每年年初研擬尿液採驗實施計畫陳報主管機關備查，相關經費並由受檢業者自行籌措。</w:t>
      </w:r>
    </w:p>
    <w:p>
      <w:pPr>
        <w:pStyle w:val="Normal"/>
        <w:tabs>
          <w:tab w:val="clear" w:pos="480"/>
        </w:tabs>
        <w:spacing w:lineRule="exact" w:line="400"/>
        <w:ind w:start="840" w:hanging="840"/>
        <w:jc w:val="both"/>
        <w:rPr>
          <w:rFonts w:ascii="標楷體" w:hAnsi="標楷體" w:eastAsia="標楷體" w:cs="Malgun Gothic Semilight"/>
          <w:kern w:val="0"/>
          <w:sz w:val="28"/>
          <w:szCs w:val="28"/>
        </w:rPr>
      </w:pPr>
      <w:r>
        <w:rPr>
          <w:rFonts w:ascii="標楷體" w:hAnsi="標楷體" w:cs="Malgun Gothic Semilight" w:eastAsia="標楷體"/>
          <w:kern w:val="0"/>
          <w:sz w:val="28"/>
          <w:szCs w:val="28"/>
        </w:rPr>
        <w:t>十二、海運業者應於每年終了前五日內，將辦理情形陳報主管機關。</w:t>
      </w:r>
    </w:p>
    <w:p>
      <w:pPr>
        <w:pStyle w:val="Normal"/>
        <w:tabs>
          <w:tab w:val="clear" w:pos="480"/>
        </w:tabs>
        <w:spacing w:lineRule="exact" w:line="400"/>
        <w:ind w:start="850" w:hanging="0"/>
        <w:jc w:val="both"/>
        <w:rPr/>
      </w:pPr>
      <w:r>
        <w:rPr>
          <w:rStyle w:val="Style14"/>
          <w:rFonts w:ascii="標楷體" w:hAnsi="標楷體" w:cs="Malgun Gothic Semilight" w:eastAsia="標楷體"/>
          <w:kern w:val="0"/>
          <w:sz w:val="28"/>
          <w:szCs w:val="28"/>
        </w:rPr>
        <w:t>主管機關</w:t>
      </w:r>
      <w:r>
        <w:rPr>
          <w:rStyle w:val="Style14"/>
          <w:rFonts w:ascii="標楷體" w:hAnsi="標楷體" w:cs="微軟正黑體" w:eastAsia="標楷體"/>
          <w:kern w:val="0"/>
          <w:sz w:val="28"/>
          <w:szCs w:val="28"/>
        </w:rPr>
        <w:t>應於每年年度終了後十五日內將執行情形彙整函送交法務部轉陳行政院備查。</w:t>
      </w:r>
    </w:p>
    <w:sectPr>
      <w:headerReference w:type="default" r:id="rId2"/>
      <w:footerReference w:type="default" r:id="rId3"/>
      <w:type w:val="nextPage"/>
      <w:pgSz w:w="11906" w:h="16838"/>
      <w:pgMar w:left="1701" w:right="1418" w:header="851" w:top="1418" w:footer="992" w:bottom="141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swiss"/>
    <w:pitch w:val="variable"/>
  </w:font>
  <w:font w:name="細明體">
    <w:charset w:val="00" w:characterSet="iso-8859-1"/>
    <w:family w:val="modern"/>
    <w:pitch w:val="fixed"/>
  </w:font>
  <w:font w:name="Liberation Sans">
    <w:altName w:val="Arial"/>
    <w:charset w:val="00" w:characterSet="iso-8859-1"/>
    <w:family w:val="swiss"/>
    <w:pitch w:val="variable"/>
  </w:font>
  <w:font w:name="新細明體">
    <w:charset w:val="00" w:characterSet="iso-8859-1"/>
    <w:family w:val="roman"/>
    <w:pitch w:val="variable"/>
  </w:font>
  <w:font w:name="標楷體">
    <w:charset w:val="00" w:characterSet="iso-8859-1"/>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fldChar w:fldCharType="begin"/>
    </w:r>
    <w:r>
      <w:rPr/>
      <w:instrText> PAGE </w:instrText>
    </w:r>
    <w:r>
      <w:rPr/>
      <w:fldChar w:fldCharType="separate"/>
    </w:r>
    <w:r>
      <w:rPr/>
      <w:t>2</w:t>
    </w:r>
    <w:r>
      <w:rPr/>
      <w:fldChar w:fldCharType="end"/>
    </w:r>
  </w:p>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en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start"/>
      <w:pPr>
        <w:ind w:start="0" w:hanging="0"/>
      </w:pPr>
    </w:lvl>
    <w:lvl w:ilvl="1">
      <w:start w:val="1"/>
      <w:numFmt w:val="ideographTraditional"/>
      <w:suff w:val="nothing"/>
      <w:lvlText w:val="%2、"/>
      <w:lvlJc w:val="start"/>
      <w:pPr>
        <w:ind w:start="0" w:hanging="0"/>
      </w:pPr>
    </w:lvl>
    <w:lvl w:ilvl="2">
      <w:start w:val="1"/>
      <w:numFmt w:val="lowerRoman"/>
      <w:suff w:val="nothing"/>
      <w:lvlText w:val="%3."/>
      <w:lvlJc w:val="end"/>
      <w:pPr>
        <w:ind w:start="0" w:hanging="0"/>
      </w:pPr>
    </w:lvl>
    <w:lvl w:ilvl="3">
      <w:start w:val="1"/>
      <w:numFmt w:val="decimal"/>
      <w:suff w:val="nothing"/>
      <w:lvlText w:val="%4."/>
      <w:lvlJc w:val="start"/>
      <w:pPr>
        <w:ind w:start="0" w:hanging="0"/>
      </w:pPr>
    </w:lvl>
    <w:lvl w:ilvl="4">
      <w:start w:val="1"/>
      <w:numFmt w:val="ideographTraditional"/>
      <w:suff w:val="nothing"/>
      <w:lvlText w:val="%5、"/>
      <w:lvlJc w:val="start"/>
      <w:pPr>
        <w:ind w:start="0" w:hanging="0"/>
      </w:pPr>
    </w:lvl>
    <w:lvl w:ilvl="5">
      <w:start w:val="1"/>
      <w:numFmt w:val="lowerRoman"/>
      <w:suff w:val="nothing"/>
      <w:lvlText w:val="%6."/>
      <w:lvlJc w:val="end"/>
      <w:pPr>
        <w:ind w:start="0" w:hanging="0"/>
      </w:pPr>
    </w:lvl>
    <w:lvl w:ilvl="6">
      <w:start w:val="1"/>
      <w:numFmt w:val="decimal"/>
      <w:suff w:val="nothing"/>
      <w:lvlText w:val="%7."/>
      <w:lvlJc w:val="start"/>
      <w:pPr>
        <w:ind w:start="0" w:hanging="0"/>
      </w:pPr>
    </w:lvl>
    <w:lvl w:ilvl="7">
      <w:start w:val="1"/>
      <w:numFmt w:val="ideographTraditional"/>
      <w:suff w:val="nothing"/>
      <w:lvlText w:val="%8、"/>
      <w:lvlJc w:val="start"/>
      <w:pPr>
        <w:ind w:start="0" w:hanging="0"/>
      </w:pPr>
    </w:lvl>
    <w:lvl w:ilvl="8">
      <w:start w:val="1"/>
      <w:numFmt w:val="lowerRoman"/>
      <w:suff w:val="nothing"/>
      <w:lvlText w:val="%9."/>
      <w:lvlJc w:val="end"/>
      <w:pPr>
        <w:ind w:start="0" w:hanging="0"/>
      </w:p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3">
    <w:lvl w:ilvl="0">
      <w:start w:val="1"/>
      <w:numFmt w:val="taiwaneseCountingThousand"/>
      <w:suff w:val="nothing"/>
      <w:lvlText w:val="%1、"/>
      <w:lvlJc w:val="start"/>
      <w:pPr>
        <w:ind w:start="0" w:hanging="0"/>
      </w:pPr>
    </w:lvl>
    <w:lvl w:ilvl="1">
      <w:start w:val="1"/>
      <w:numFmt w:val="ideographTraditional"/>
      <w:suff w:val="nothing"/>
      <w:lvlText w:val="%2、"/>
      <w:lvlJc w:val="start"/>
      <w:pPr>
        <w:ind w:start="0" w:hanging="0"/>
      </w:pPr>
    </w:lvl>
    <w:lvl w:ilvl="2">
      <w:start w:val="1"/>
      <w:numFmt w:val="lowerRoman"/>
      <w:suff w:val="nothing"/>
      <w:lvlText w:val="%3."/>
      <w:lvlJc w:val="end"/>
      <w:pPr>
        <w:ind w:start="0" w:hanging="0"/>
      </w:pPr>
    </w:lvl>
    <w:lvl w:ilvl="3">
      <w:start w:val="1"/>
      <w:numFmt w:val="decimal"/>
      <w:suff w:val="nothing"/>
      <w:lvlText w:val="%4."/>
      <w:lvlJc w:val="start"/>
      <w:pPr>
        <w:ind w:start="0" w:hanging="0"/>
      </w:pPr>
    </w:lvl>
    <w:lvl w:ilvl="4">
      <w:start w:val="1"/>
      <w:numFmt w:val="ideographTraditional"/>
      <w:suff w:val="nothing"/>
      <w:lvlText w:val="%5、"/>
      <w:lvlJc w:val="start"/>
      <w:pPr>
        <w:ind w:start="0" w:hanging="0"/>
      </w:pPr>
    </w:lvl>
    <w:lvl w:ilvl="5">
      <w:start w:val="1"/>
      <w:numFmt w:val="lowerRoman"/>
      <w:suff w:val="nothing"/>
      <w:lvlText w:val="%6."/>
      <w:lvlJc w:val="end"/>
      <w:pPr>
        <w:ind w:start="0" w:hanging="0"/>
      </w:pPr>
    </w:lvl>
    <w:lvl w:ilvl="6">
      <w:start w:val="1"/>
      <w:numFmt w:val="decimal"/>
      <w:suff w:val="nothing"/>
      <w:lvlText w:val="%7."/>
      <w:lvlJc w:val="start"/>
      <w:pPr>
        <w:ind w:start="0" w:hanging="0"/>
      </w:pPr>
    </w:lvl>
    <w:lvl w:ilvl="7">
      <w:start w:val="1"/>
      <w:numFmt w:val="ideographTraditional"/>
      <w:suff w:val="nothing"/>
      <w:lvlText w:val="%8、"/>
      <w:lvlJc w:val="start"/>
      <w:pPr>
        <w:ind w:start="0" w:hanging="0"/>
      </w:pPr>
    </w:lvl>
    <w:lvl w:ilvl="8">
      <w:start w:val="1"/>
      <w:numFmt w:val="lowerRoman"/>
      <w:suff w:val="nothing"/>
      <w:lvlText w:val="%9."/>
      <w:lvlJc w:val="end"/>
      <w:pPr>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InternetLink">
    <w:name w:val="Hyperlink"/>
    <w:basedOn w:val="Style14"/>
    <w:rPr>
      <w:color w:val="0000FF"/>
      <w:u w:val="single"/>
    </w:rPr>
  </w:style>
  <w:style w:type="character" w:styleId="HTML">
    <w:name w:val="HTML 預設格式 字元"/>
    <w:basedOn w:val="Style14"/>
    <w:qFormat/>
    <w:rPr>
      <w:rFonts w:ascii="細明體" w:hAnsi="細明體" w:eastAsia="細明體" w:cs="細明體"/>
      <w:kern w:val="0"/>
      <w:szCs w:val="24"/>
    </w:rPr>
  </w:style>
  <w:style w:type="paragraph" w:styleId="Style17">
    <w:name w:val="內文"/>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ing">
    <w:name w:val="Heading"/>
    <w:basedOn w:val="Normal"/>
    <w:next w:val="TextBody"/>
    <w:qFormat/>
    <w:pPr>
      <w:keepNext w:val="true"/>
      <w:suppressAutoHyphens w:val="true"/>
      <w:spacing w:before="240" w:after="120"/>
    </w:pPr>
    <w:rPr>
      <w:rFonts w:ascii="Liberation Sans" w:hAnsi="Liberation Sans" w:eastAsia="微軟正黑體" w:cs="思源黑體 TW"/>
      <w:sz w:val="28"/>
      <w:szCs w:val="28"/>
    </w:rPr>
  </w:style>
  <w:style w:type="paragraph" w:styleId="TextBody">
    <w:name w:val="Body Text"/>
    <w:basedOn w:val="Normal"/>
    <w:pPr>
      <w:suppressAutoHyphens w:val="true"/>
      <w:spacing w:lineRule="auto" w:line="276" w:before="0" w:after="140"/>
    </w:pPr>
    <w:rPr/>
  </w:style>
  <w:style w:type="paragraph" w:styleId="Style18">
    <w:name w:val="清單"/>
    <w:basedOn w:val="TextBody"/>
    <w:qFormat/>
    <w:pPr>
      <w:suppressAutoHyphens w:val="true"/>
    </w:pPr>
    <w:rPr>
      <w:rFonts w:cs="思源黑體 TW"/>
    </w:rPr>
  </w:style>
  <w:style w:type="paragraph" w:styleId="Style19">
    <w:name w:val="標號"/>
    <w:basedOn w:val="Normal"/>
    <w:qFormat/>
    <w:pPr>
      <w:suppressLineNumbers/>
      <w:suppressAutoHyphens w:val="true"/>
      <w:spacing w:before="120" w:after="120"/>
    </w:pPr>
    <w:rPr>
      <w:rFonts w:cs="思源黑體 TW"/>
      <w:i/>
      <w:iCs/>
      <w:szCs w:val="24"/>
    </w:rPr>
  </w:style>
  <w:style w:type="paragraph" w:styleId="Index">
    <w:name w:val="Index"/>
    <w:basedOn w:val="Normal"/>
    <w:qFormat/>
    <w:pPr>
      <w:suppressLineNumbers/>
      <w:suppressAutoHyphens w:val="true"/>
    </w:pPr>
    <w:rPr>
      <w:rFonts w:cs="思源黑體 TW"/>
    </w:rPr>
  </w:style>
  <w:style w:type="paragraph" w:styleId="Style20">
    <w:name w:val="頁首"/>
    <w:basedOn w:val="Normal"/>
    <w:qFormat/>
    <w:pPr>
      <w:tabs>
        <w:tab w:val="clear" w:pos="480"/>
        <w:tab w:val="center" w:pos="4153" w:leader="none"/>
        <w:tab w:val="right" w:pos="8306" w:leader="none"/>
      </w:tabs>
      <w:suppressAutoHyphens w:val="true"/>
      <w:snapToGrid w:val="false"/>
    </w:pPr>
    <w:rPr>
      <w:sz w:val="20"/>
      <w:szCs w:val="20"/>
    </w:rPr>
  </w:style>
  <w:style w:type="paragraph" w:styleId="Style21">
    <w:name w:val="頁尾"/>
    <w:basedOn w:val="Normal"/>
    <w:qFormat/>
    <w:pPr>
      <w:tabs>
        <w:tab w:val="clear" w:pos="480"/>
        <w:tab w:val="center" w:pos="4153" w:leader="none"/>
        <w:tab w:val="right" w:pos="8306" w:leader="none"/>
      </w:tabs>
      <w:suppressAutoHyphens w:val="true"/>
      <w:snapToGrid w:val="false"/>
    </w:pPr>
    <w:rPr>
      <w:sz w:val="20"/>
      <w:szCs w:val="20"/>
    </w:rPr>
  </w:style>
  <w:style w:type="paragraph" w:styleId="Style22">
    <w:name w:val="清單段落"/>
    <w:basedOn w:val="Normal"/>
    <w:qFormat/>
    <w:pPr>
      <w:tabs>
        <w:tab w:val="clear" w:pos="480"/>
      </w:tabs>
      <w:suppressAutoHyphens w:val="true"/>
      <w:ind w:start="480" w:hanging="0"/>
    </w:pPr>
    <w:rPr/>
  </w:style>
  <w:style w:type="paragraph" w:styleId="HTML1">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Cjk">
    <w:name w:val="cjk"/>
    <w:basedOn w:val="Normal"/>
    <w:qFormat/>
    <w:pPr>
      <w:widowControl/>
      <w:suppressAutoHyphens w:val="true"/>
      <w:spacing w:before="280" w:after="280"/>
    </w:pPr>
    <w:rPr>
      <w:rFonts w:ascii="新細明體" w:hAnsi="新細明體" w:cs="新細明體"/>
      <w:kern w:val="0"/>
      <w:szCs w:val="24"/>
    </w:rPr>
  </w:style>
  <w:style w:type="paragraph" w:styleId="DocumentMap">
    <w:name w:val="DocumentMap"/>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auto"/>
    </w:pPr>
    <w:rPr>
      <w:rFonts w:cs="Calibri" w:ascii="Calibri" w:hAnsi="Calibri" w:eastAsia="新細明體"/>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204</TotalTime>
  <Application>LibreOffice/6.4.4.2$Linux_X86_64 LibreOffice_project/3d775be2011f3886db32dfd395a6a6d1ca2630ff</Application>
  <Pages>2</Pages>
  <Words>145</Words>
  <CharactersWithSpaces>976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2020-08-06T01:58:00Z</dcterms:created>
  <dc:creator>羅苓芝</dc:creator>
  <dc:description/>
  <dc:language>en-US</dc:language>
  <cp:lastModifiedBy>USER</cp:lastModifiedBy>
  <cp:lastPrinted>2020-10-29T05:34:00Z</cp:lastPrinted>
  <dcterms:modified xsi:type="dcterms:W3CDTF">2020-10-29T05:34:00Z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